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2200987</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0AD58CE8" w:rsidR="00E13C27" w:rsidRPr="00CF1AA2" w:rsidRDefault="008F6665" w:rsidP="0005246F">
      <w:pPr>
        <w:pStyle w:val="David"/>
        <w:spacing w:before="102"/>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6A2B9DC4" w:rsidR="00E13C27" w:rsidRPr="00E06736" w:rsidRDefault="00904591" w:rsidP="00904591">
      <w:pPr>
        <w:pStyle w:val="David"/>
        <w:spacing w:line="240" w:lineRule="auto"/>
        <w:ind w:left="3544"/>
        <w:rPr>
          <w:rtl/>
        </w:rPr>
      </w:pPr>
      <w:r>
        <w:t xml:space="preserve">                                            </w:t>
      </w:r>
      <w:r w:rsidR="008F1308">
        <w:t xml:space="preserve"> </w:t>
      </w:r>
      <w:bookmarkStart w:id="6" w:name="Private_Number"/>
      <w:r w:rsidR="0005246F">
        <w:rPr>
          <w:rtl/>
        </w:rPr>
        <w:tab/>
      </w:r>
      <w:r>
        <w:rPr>
          <w:rFonts w:hint="cs"/>
          <w:rtl/>
        </w:rPr>
        <w:t>פ/2355/25</w:t>
      </w:r>
      <w:bookmarkEnd w:id="6"/>
    </w:p>
    <w:p w14:paraId="7F6961AC" w14:textId="77777777" w:rsidR="00E13C27" w:rsidRDefault="00E13C27" w:rsidP="00E13C27">
      <w:pPr>
        <w:ind w:left="2880" w:firstLine="720"/>
        <w:rPr>
          <w:sz w:val="26"/>
          <w:szCs w:val="26"/>
          <w:rtl/>
        </w:rPr>
      </w:pPr>
    </w:p>
    <w:p w14:paraId="7F6961AE" w14:textId="6B892437" w:rsidR="00E13C27" w:rsidRDefault="00A443CF" w:rsidP="00141301">
      <w:pPr>
        <w:pStyle w:val="HeadHatzaotHok"/>
        <w:rPr>
          <w:rtl/>
        </w:rPr>
      </w:pPr>
      <w:bookmarkStart w:id="7" w:name="LGS_Subject"/>
      <w:r>
        <w:rPr>
          <w:rFonts w:hint="cs"/>
          <w:rtl/>
        </w:rPr>
        <w:t>הצעת חוק התרבות והאומנות (תיקון – הקצאת תקציב שנתי לתרבות ולאומנות), התשפ"ג–2023</w:t>
      </w:r>
      <w:bookmarkStart w:id="8" w:name="_GoBack"/>
      <w:bookmarkEnd w:id="7"/>
      <w:bookmarkEnd w:id="8"/>
    </w:p>
    <w:tbl>
      <w:tblPr>
        <w:bidiVisual/>
        <w:tblW w:w="9641" w:type="dxa"/>
        <w:tblCellMar>
          <w:top w:w="57" w:type="dxa"/>
          <w:left w:w="0" w:type="dxa"/>
          <w:bottom w:w="57" w:type="dxa"/>
          <w:right w:w="0" w:type="dxa"/>
        </w:tblCellMar>
        <w:tblLook w:val="04A0" w:firstRow="1" w:lastRow="0" w:firstColumn="1" w:lastColumn="0" w:noHBand="0" w:noVBand="1"/>
      </w:tblPr>
      <w:tblGrid>
        <w:gridCol w:w="1871"/>
        <w:gridCol w:w="624"/>
        <w:gridCol w:w="624"/>
        <w:gridCol w:w="1247"/>
        <w:gridCol w:w="624"/>
        <w:gridCol w:w="4651"/>
      </w:tblGrid>
      <w:tr w:rsidR="00A874CA" w14:paraId="66C7846B" w14:textId="77777777" w:rsidTr="0005246F">
        <w:trPr>
          <w:cantSplit/>
        </w:trPr>
        <w:tc>
          <w:tcPr>
            <w:tcW w:w="1871" w:type="dxa"/>
            <w:hideMark/>
          </w:tcPr>
          <w:p w14:paraId="6D6A1C16" w14:textId="77777777" w:rsidR="00A874CA" w:rsidRPr="000B3DC0" w:rsidRDefault="00A874CA" w:rsidP="00934E79">
            <w:pPr>
              <w:pStyle w:val="TableSideHeading"/>
            </w:pPr>
            <w:r w:rsidRPr="000B3DC0">
              <w:rPr>
                <w:rtl/>
              </w:rPr>
              <w:t>הוספת סעיף 1א</w:t>
            </w:r>
          </w:p>
        </w:tc>
        <w:tc>
          <w:tcPr>
            <w:tcW w:w="624" w:type="dxa"/>
            <w:hideMark/>
          </w:tcPr>
          <w:p w14:paraId="1AC477D3" w14:textId="77777777" w:rsidR="00A874CA" w:rsidRPr="000B3DC0" w:rsidRDefault="00A874CA" w:rsidP="00934E79">
            <w:pPr>
              <w:pStyle w:val="TableText"/>
              <w:jc w:val="both"/>
            </w:pPr>
            <w:r w:rsidRPr="000B3DC0">
              <w:rPr>
                <w:rtl/>
              </w:rPr>
              <w:t>1.</w:t>
            </w:r>
          </w:p>
        </w:tc>
        <w:tc>
          <w:tcPr>
            <w:tcW w:w="7146" w:type="dxa"/>
            <w:gridSpan w:val="4"/>
            <w:hideMark/>
          </w:tcPr>
          <w:p w14:paraId="7E3588A1" w14:textId="3A2814A8" w:rsidR="00A874CA" w:rsidRPr="000B3DC0" w:rsidRDefault="00A874CA" w:rsidP="0005246F">
            <w:pPr>
              <w:pStyle w:val="TableBlock"/>
              <w:rPr>
                <w:rtl/>
              </w:rPr>
            </w:pPr>
            <w:r w:rsidRPr="000B3DC0">
              <w:rPr>
                <w:rtl/>
              </w:rPr>
              <w:t>בחוק התרבות והא</w:t>
            </w:r>
            <w:r w:rsidR="00141301">
              <w:rPr>
                <w:rFonts w:hint="cs"/>
                <w:rtl/>
              </w:rPr>
              <w:t>ו</w:t>
            </w:r>
            <w:r w:rsidRPr="000B3DC0">
              <w:rPr>
                <w:rtl/>
              </w:rPr>
              <w:t>מנות, התשס"ג–2002</w:t>
            </w:r>
            <w:r w:rsidRPr="0005246F">
              <w:rPr>
                <w:rFonts w:ascii="David" w:hAnsi="David"/>
                <w:sz w:val="26"/>
                <w:vertAlign w:val="superscript"/>
                <w:rtl/>
              </w:rPr>
              <w:footnoteReference w:id="2"/>
            </w:r>
            <w:r w:rsidRPr="000B3DC0">
              <w:rPr>
                <w:rtl/>
              </w:rPr>
              <w:t xml:space="preserve"> (להלן – החוק העיקרי), אחרי </w:t>
            </w:r>
            <w:r w:rsidRPr="000B3DC0">
              <w:rPr>
                <w:rtl/>
              </w:rPr>
              <w:br/>
              <w:t>סעיף 1 יבוא:</w:t>
            </w:r>
          </w:p>
        </w:tc>
      </w:tr>
      <w:tr w:rsidR="00A874CA" w14:paraId="0D81EE8B" w14:textId="77777777" w:rsidTr="0005246F">
        <w:trPr>
          <w:cantSplit/>
        </w:trPr>
        <w:tc>
          <w:tcPr>
            <w:tcW w:w="1871" w:type="dxa"/>
          </w:tcPr>
          <w:p w14:paraId="0F2FE77F" w14:textId="77777777" w:rsidR="00A874CA" w:rsidRPr="000B3DC0" w:rsidRDefault="00A874CA" w:rsidP="00934E79">
            <w:pPr>
              <w:pStyle w:val="TableSideHeading"/>
            </w:pPr>
          </w:p>
        </w:tc>
        <w:tc>
          <w:tcPr>
            <w:tcW w:w="624" w:type="dxa"/>
          </w:tcPr>
          <w:p w14:paraId="3BD0B8D2" w14:textId="77777777" w:rsidR="00A874CA" w:rsidRPr="000B3DC0" w:rsidRDefault="00A874CA" w:rsidP="00934E79">
            <w:pPr>
              <w:pStyle w:val="TableText"/>
            </w:pPr>
          </w:p>
        </w:tc>
        <w:tc>
          <w:tcPr>
            <w:tcW w:w="1871" w:type="dxa"/>
            <w:gridSpan w:val="2"/>
            <w:hideMark/>
          </w:tcPr>
          <w:p w14:paraId="514F2748" w14:textId="77777777" w:rsidR="00A874CA" w:rsidRPr="000B3DC0" w:rsidRDefault="00A874CA" w:rsidP="00934E79">
            <w:pPr>
              <w:pStyle w:val="TableInnerSideHeading"/>
            </w:pPr>
            <w:r w:rsidRPr="000B3DC0">
              <w:rPr>
                <w:rtl/>
              </w:rPr>
              <w:t>"מטרה</w:t>
            </w:r>
          </w:p>
        </w:tc>
        <w:tc>
          <w:tcPr>
            <w:tcW w:w="624" w:type="dxa"/>
            <w:hideMark/>
          </w:tcPr>
          <w:p w14:paraId="64A2CA93" w14:textId="77777777" w:rsidR="00A874CA" w:rsidRPr="000B3DC0" w:rsidRDefault="00A874CA" w:rsidP="00934E79">
            <w:pPr>
              <w:pStyle w:val="TableText"/>
              <w:jc w:val="both"/>
            </w:pPr>
            <w:r w:rsidRPr="000B3DC0">
              <w:rPr>
                <w:rtl/>
              </w:rPr>
              <w:t>1א.</w:t>
            </w:r>
          </w:p>
        </w:tc>
        <w:tc>
          <w:tcPr>
            <w:tcW w:w="4651" w:type="dxa"/>
            <w:hideMark/>
          </w:tcPr>
          <w:p w14:paraId="544245F0" w14:textId="2EAD3E82" w:rsidR="00A874CA" w:rsidRPr="000B3DC0" w:rsidRDefault="00A874CA" w:rsidP="0005246F">
            <w:pPr>
              <w:pStyle w:val="TableBlock"/>
            </w:pPr>
            <w:r w:rsidRPr="000B3DC0">
              <w:rPr>
                <w:rtl/>
              </w:rPr>
              <w:t>חוק זה נועד לחזק את מעמדו של תחום התרבות והא</w:t>
            </w:r>
            <w:r w:rsidR="00141301">
              <w:rPr>
                <w:rFonts w:hint="cs"/>
                <w:rtl/>
              </w:rPr>
              <w:t>ו</w:t>
            </w:r>
            <w:r w:rsidRPr="000B3DC0">
              <w:rPr>
                <w:rtl/>
              </w:rPr>
              <w:t>מנות בישראל, לקבוע את יעדי התקציב המוקצה לתחום זה ולהסדיר את דרכי חלוקת התקציב ואופן ניצולו."</w:t>
            </w:r>
          </w:p>
        </w:tc>
      </w:tr>
      <w:tr w:rsidR="00A874CA" w14:paraId="289B2609" w14:textId="77777777" w:rsidTr="0005246F">
        <w:trPr>
          <w:cantSplit/>
        </w:trPr>
        <w:tc>
          <w:tcPr>
            <w:tcW w:w="1871" w:type="dxa"/>
            <w:hideMark/>
          </w:tcPr>
          <w:p w14:paraId="4CA9029E" w14:textId="77777777" w:rsidR="00A874CA" w:rsidRPr="000B3DC0" w:rsidRDefault="00A874CA" w:rsidP="00934E79">
            <w:pPr>
              <w:pStyle w:val="TableSideHeading"/>
            </w:pPr>
            <w:r w:rsidRPr="000B3DC0">
              <w:rPr>
                <w:rtl/>
              </w:rPr>
              <w:t>תיקון סעיף 1</w:t>
            </w:r>
          </w:p>
        </w:tc>
        <w:tc>
          <w:tcPr>
            <w:tcW w:w="624" w:type="dxa"/>
            <w:hideMark/>
          </w:tcPr>
          <w:p w14:paraId="0AD6431D" w14:textId="77777777" w:rsidR="00A874CA" w:rsidRPr="000B3DC0" w:rsidRDefault="00A874CA" w:rsidP="00934E79">
            <w:pPr>
              <w:pStyle w:val="TableText"/>
            </w:pPr>
            <w:r w:rsidRPr="000B3DC0">
              <w:rPr>
                <w:rtl/>
              </w:rPr>
              <w:t>2.</w:t>
            </w:r>
          </w:p>
        </w:tc>
        <w:tc>
          <w:tcPr>
            <w:tcW w:w="7146" w:type="dxa"/>
            <w:gridSpan w:val="4"/>
            <w:hideMark/>
          </w:tcPr>
          <w:p w14:paraId="58D96F99" w14:textId="77777777" w:rsidR="00A874CA" w:rsidRPr="000B3DC0" w:rsidRDefault="00A874CA" w:rsidP="0005246F">
            <w:pPr>
              <w:pStyle w:val="TableBlock"/>
            </w:pPr>
            <w:r w:rsidRPr="000B3DC0">
              <w:rPr>
                <w:rtl/>
              </w:rPr>
              <w:t>בסעיף 1 לחוק העיקרי, אחרי ההגדרות "תחום פעולה" ו"סעיף תקציב" יבוא:</w:t>
            </w:r>
          </w:p>
        </w:tc>
      </w:tr>
      <w:tr w:rsidR="00A874CA" w14:paraId="5578BB10" w14:textId="77777777" w:rsidTr="0005246F">
        <w:trPr>
          <w:cantSplit/>
        </w:trPr>
        <w:tc>
          <w:tcPr>
            <w:tcW w:w="1871" w:type="dxa"/>
          </w:tcPr>
          <w:p w14:paraId="630EFEDC" w14:textId="77777777" w:rsidR="00A874CA" w:rsidRPr="000B3DC0" w:rsidRDefault="00A874CA" w:rsidP="00934E79">
            <w:pPr>
              <w:pStyle w:val="TableSideHeading"/>
            </w:pPr>
          </w:p>
        </w:tc>
        <w:tc>
          <w:tcPr>
            <w:tcW w:w="624" w:type="dxa"/>
          </w:tcPr>
          <w:p w14:paraId="515424B9" w14:textId="77777777" w:rsidR="00A874CA" w:rsidRPr="000B3DC0" w:rsidRDefault="00A874CA" w:rsidP="00934E79">
            <w:pPr>
              <w:pStyle w:val="TableText"/>
            </w:pPr>
          </w:p>
        </w:tc>
        <w:tc>
          <w:tcPr>
            <w:tcW w:w="7146" w:type="dxa"/>
            <w:gridSpan w:val="4"/>
            <w:hideMark/>
          </w:tcPr>
          <w:p w14:paraId="2411AF24" w14:textId="1029B902" w:rsidR="00A874CA" w:rsidRPr="000B3DC0" w:rsidRDefault="00A874CA" w:rsidP="0005246F">
            <w:pPr>
              <w:pStyle w:val="TableBlockOutdent"/>
            </w:pPr>
            <w:r w:rsidRPr="000B3DC0">
              <w:rPr>
                <w:rtl/>
              </w:rPr>
              <w:t>""התקציב השנתי לתרבות ו</w:t>
            </w:r>
            <w:r w:rsidR="00141301">
              <w:rPr>
                <w:rtl/>
              </w:rPr>
              <w:t>אומנות</w:t>
            </w:r>
            <w:r w:rsidRPr="000B3DC0">
              <w:rPr>
                <w:rtl/>
              </w:rPr>
              <w:t>" – התקציב הכלול בתחום פעולה – תרבות, במסגרת סעיף תקציב המשרד האחראי על תחום התרבות, והמיועד למטרות אלה בלבד:</w:t>
            </w:r>
          </w:p>
        </w:tc>
      </w:tr>
      <w:tr w:rsidR="00A874CA" w14:paraId="59ACA515" w14:textId="77777777" w:rsidTr="0005246F">
        <w:trPr>
          <w:cantSplit/>
        </w:trPr>
        <w:tc>
          <w:tcPr>
            <w:tcW w:w="1871" w:type="dxa"/>
          </w:tcPr>
          <w:p w14:paraId="13AD3D7E" w14:textId="77777777" w:rsidR="00A874CA" w:rsidRPr="000B3DC0" w:rsidRDefault="00A874CA" w:rsidP="00934E79">
            <w:pPr>
              <w:pStyle w:val="TableSideHeading"/>
            </w:pPr>
          </w:p>
        </w:tc>
        <w:tc>
          <w:tcPr>
            <w:tcW w:w="624" w:type="dxa"/>
          </w:tcPr>
          <w:p w14:paraId="781CB4BB" w14:textId="77777777" w:rsidR="00A874CA" w:rsidRPr="000B3DC0" w:rsidRDefault="00A874CA" w:rsidP="00934E79">
            <w:pPr>
              <w:pStyle w:val="TableText"/>
            </w:pPr>
          </w:p>
        </w:tc>
        <w:tc>
          <w:tcPr>
            <w:tcW w:w="7146" w:type="dxa"/>
            <w:gridSpan w:val="4"/>
            <w:hideMark/>
          </w:tcPr>
          <w:p w14:paraId="004E5F5A" w14:textId="62A357DF" w:rsidR="00A874CA" w:rsidRPr="000B3DC0" w:rsidRDefault="00A874CA" w:rsidP="0005246F">
            <w:pPr>
              <w:pStyle w:val="TableBlock"/>
            </w:pPr>
            <w:r w:rsidRPr="000B3DC0">
              <w:rPr>
                <w:rtl/>
              </w:rPr>
              <w:t>(1)</w:t>
            </w:r>
            <w:r w:rsidRPr="000B3DC0">
              <w:rPr>
                <w:rtl/>
              </w:rPr>
              <w:tab/>
              <w:t>תמיכה במוסדות תרבות ו</w:t>
            </w:r>
            <w:r w:rsidR="00141301">
              <w:rPr>
                <w:rtl/>
              </w:rPr>
              <w:t>אומנות</w:t>
            </w:r>
            <w:r w:rsidRPr="000B3DC0">
              <w:rPr>
                <w:rtl/>
              </w:rPr>
              <w:t xml:space="preserve"> מקצועיים;</w:t>
            </w:r>
          </w:p>
        </w:tc>
      </w:tr>
      <w:tr w:rsidR="00A874CA" w14:paraId="449A8B42" w14:textId="77777777" w:rsidTr="0005246F">
        <w:trPr>
          <w:cantSplit/>
        </w:trPr>
        <w:tc>
          <w:tcPr>
            <w:tcW w:w="1871" w:type="dxa"/>
          </w:tcPr>
          <w:p w14:paraId="4F4608F8" w14:textId="77777777" w:rsidR="00A874CA" w:rsidRPr="000B3DC0" w:rsidRDefault="00A874CA" w:rsidP="00934E79">
            <w:pPr>
              <w:pStyle w:val="TableSideHeading"/>
            </w:pPr>
          </w:p>
        </w:tc>
        <w:tc>
          <w:tcPr>
            <w:tcW w:w="624" w:type="dxa"/>
          </w:tcPr>
          <w:p w14:paraId="4CD3015D" w14:textId="77777777" w:rsidR="00A874CA" w:rsidRPr="000B3DC0" w:rsidRDefault="00A874CA" w:rsidP="00934E79">
            <w:pPr>
              <w:pStyle w:val="TableText"/>
            </w:pPr>
          </w:p>
        </w:tc>
        <w:tc>
          <w:tcPr>
            <w:tcW w:w="7146" w:type="dxa"/>
            <w:gridSpan w:val="4"/>
            <w:hideMark/>
          </w:tcPr>
          <w:p w14:paraId="55E81C82" w14:textId="1CE9F464" w:rsidR="00A874CA" w:rsidRPr="000B3DC0" w:rsidRDefault="00A874CA" w:rsidP="0005246F">
            <w:pPr>
              <w:pStyle w:val="TableBlock"/>
            </w:pPr>
            <w:r w:rsidRPr="000B3DC0">
              <w:rPr>
                <w:rtl/>
              </w:rPr>
              <w:t>(2)</w:t>
            </w:r>
            <w:r w:rsidRPr="000B3DC0">
              <w:rPr>
                <w:rtl/>
              </w:rPr>
              <w:tab/>
              <w:t>פעולות לקידום העשייה הא</w:t>
            </w:r>
            <w:r w:rsidR="00141301">
              <w:rPr>
                <w:rFonts w:hint="cs"/>
                <w:rtl/>
              </w:rPr>
              <w:t>ו</w:t>
            </w:r>
            <w:r w:rsidRPr="000B3DC0">
              <w:rPr>
                <w:rtl/>
              </w:rPr>
              <w:t>מנותית המקצועית והפצתה בציבור הרחב;</w:t>
            </w:r>
          </w:p>
        </w:tc>
      </w:tr>
      <w:tr w:rsidR="00A874CA" w14:paraId="147ACEB5" w14:textId="77777777" w:rsidTr="0005246F">
        <w:trPr>
          <w:cantSplit/>
        </w:trPr>
        <w:tc>
          <w:tcPr>
            <w:tcW w:w="1871" w:type="dxa"/>
          </w:tcPr>
          <w:p w14:paraId="77DD2942" w14:textId="77777777" w:rsidR="00A874CA" w:rsidRPr="000B3DC0" w:rsidRDefault="00A874CA" w:rsidP="00934E79">
            <w:pPr>
              <w:pStyle w:val="TableSideHeading"/>
              <w:rPr>
                <w:rtl/>
              </w:rPr>
            </w:pPr>
          </w:p>
        </w:tc>
        <w:tc>
          <w:tcPr>
            <w:tcW w:w="624" w:type="dxa"/>
          </w:tcPr>
          <w:p w14:paraId="7A84B159" w14:textId="77777777" w:rsidR="00A874CA" w:rsidRPr="000B3DC0" w:rsidRDefault="00A874CA" w:rsidP="00934E79">
            <w:pPr>
              <w:pStyle w:val="TableText"/>
            </w:pPr>
          </w:p>
        </w:tc>
        <w:tc>
          <w:tcPr>
            <w:tcW w:w="7146" w:type="dxa"/>
            <w:gridSpan w:val="4"/>
            <w:hideMark/>
          </w:tcPr>
          <w:p w14:paraId="4F94A495" w14:textId="77777777" w:rsidR="00A874CA" w:rsidRPr="000B3DC0" w:rsidRDefault="00A874CA" w:rsidP="0005246F">
            <w:pPr>
              <w:pStyle w:val="TableBlock"/>
            </w:pPr>
            <w:r w:rsidRPr="000B3DC0">
              <w:rPr>
                <w:rtl/>
              </w:rPr>
              <w:t>(3)</w:t>
            </w:r>
            <w:r w:rsidRPr="000B3DC0">
              <w:rPr>
                <w:rtl/>
              </w:rPr>
              <w:tab/>
              <w:t>תמיכה בבתי ספר על תיכוניים להכשרת יוצרים ומבצעים שאינם מוסדות להשכלה גבוהה כמשמעותם בחוק המועצה להשכלה גבוהה, התשי"ח–1958</w:t>
            </w:r>
            <w:r w:rsidRPr="0005246F">
              <w:rPr>
                <w:rFonts w:ascii="David" w:hAnsi="David"/>
                <w:sz w:val="26"/>
                <w:vertAlign w:val="superscript"/>
                <w:rtl/>
              </w:rPr>
              <w:footnoteReference w:id="3"/>
            </w:r>
            <w:r w:rsidRPr="000B3DC0">
              <w:rPr>
                <w:rtl/>
              </w:rPr>
              <w:t>;</w:t>
            </w:r>
          </w:p>
        </w:tc>
      </w:tr>
      <w:tr w:rsidR="00A874CA" w14:paraId="1E6676E6" w14:textId="77777777" w:rsidTr="0005246F">
        <w:trPr>
          <w:cantSplit/>
        </w:trPr>
        <w:tc>
          <w:tcPr>
            <w:tcW w:w="1871" w:type="dxa"/>
          </w:tcPr>
          <w:p w14:paraId="4658C2C8" w14:textId="77777777" w:rsidR="00A874CA" w:rsidRPr="000B3DC0" w:rsidRDefault="00A874CA" w:rsidP="00934E79">
            <w:pPr>
              <w:pStyle w:val="TableSideHeading"/>
              <w:rPr>
                <w:rtl/>
              </w:rPr>
            </w:pPr>
          </w:p>
        </w:tc>
        <w:tc>
          <w:tcPr>
            <w:tcW w:w="624" w:type="dxa"/>
          </w:tcPr>
          <w:p w14:paraId="56354201" w14:textId="77777777" w:rsidR="00A874CA" w:rsidRPr="000B3DC0" w:rsidRDefault="00A874CA" w:rsidP="00934E79">
            <w:pPr>
              <w:pStyle w:val="TableText"/>
            </w:pPr>
          </w:p>
        </w:tc>
        <w:tc>
          <w:tcPr>
            <w:tcW w:w="7146" w:type="dxa"/>
            <w:gridSpan w:val="4"/>
            <w:hideMark/>
          </w:tcPr>
          <w:p w14:paraId="543207EA" w14:textId="77777777" w:rsidR="00A874CA" w:rsidRPr="000B3DC0" w:rsidRDefault="00A874CA" w:rsidP="0005246F">
            <w:pPr>
              <w:pStyle w:val="TableBlock"/>
            </w:pPr>
            <w:r w:rsidRPr="000B3DC0">
              <w:rPr>
                <w:rtl/>
              </w:rPr>
              <w:t>(4)</w:t>
            </w:r>
            <w:r w:rsidRPr="000B3DC0">
              <w:rPr>
                <w:rtl/>
              </w:rPr>
              <w:tab/>
              <w:t>יוזמות, פעולות ומפעלים לעידוד ולקידום היצירה והאמן, לרבות באמצעות מענקים, מלגות ופרסים;</w:t>
            </w:r>
          </w:p>
        </w:tc>
      </w:tr>
      <w:tr w:rsidR="00A874CA" w14:paraId="07D09B07" w14:textId="77777777" w:rsidTr="0005246F">
        <w:trPr>
          <w:cantSplit/>
        </w:trPr>
        <w:tc>
          <w:tcPr>
            <w:tcW w:w="1871" w:type="dxa"/>
          </w:tcPr>
          <w:p w14:paraId="5BEC15B1" w14:textId="77777777" w:rsidR="00A874CA" w:rsidRPr="000B3DC0" w:rsidRDefault="00A874CA" w:rsidP="00934E79">
            <w:pPr>
              <w:pStyle w:val="TableSideHeading"/>
              <w:rPr>
                <w:rtl/>
              </w:rPr>
            </w:pPr>
          </w:p>
        </w:tc>
        <w:tc>
          <w:tcPr>
            <w:tcW w:w="624" w:type="dxa"/>
          </w:tcPr>
          <w:p w14:paraId="0B0913BA" w14:textId="77777777" w:rsidR="00A874CA" w:rsidRPr="000B3DC0" w:rsidRDefault="00A874CA" w:rsidP="00934E79">
            <w:pPr>
              <w:pStyle w:val="TableText"/>
            </w:pPr>
          </w:p>
        </w:tc>
        <w:tc>
          <w:tcPr>
            <w:tcW w:w="7146" w:type="dxa"/>
            <w:gridSpan w:val="4"/>
            <w:hideMark/>
          </w:tcPr>
          <w:p w14:paraId="764673AD" w14:textId="5ACE2638" w:rsidR="00A874CA" w:rsidRPr="000B3DC0" w:rsidRDefault="00A874CA" w:rsidP="0005246F">
            <w:pPr>
              <w:pStyle w:val="TableBlock"/>
            </w:pPr>
            <w:r w:rsidRPr="000B3DC0">
              <w:rPr>
                <w:rtl/>
              </w:rPr>
              <w:t>(5)</w:t>
            </w:r>
            <w:r w:rsidRPr="000B3DC0">
              <w:rPr>
                <w:rtl/>
              </w:rPr>
              <w:tab/>
              <w:t>יוזמות ופעולות להקמה של גופים חדשים בתחומי התרבות וה</w:t>
            </w:r>
            <w:r w:rsidR="00141301">
              <w:rPr>
                <w:rtl/>
              </w:rPr>
              <w:t>אומנות</w:t>
            </w:r>
            <w:r w:rsidRPr="000B3DC0">
              <w:rPr>
                <w:rtl/>
              </w:rPr>
              <w:t xml:space="preserve"> ולטיפוח ועידוד של תחומי תרבות ו</w:t>
            </w:r>
            <w:r w:rsidR="00141301">
              <w:rPr>
                <w:rtl/>
              </w:rPr>
              <w:t>אומנות</w:t>
            </w:r>
            <w:r w:rsidRPr="000B3DC0">
              <w:rPr>
                <w:rtl/>
              </w:rPr>
              <w:t xml:space="preserve"> חדשים;</w:t>
            </w:r>
          </w:p>
        </w:tc>
      </w:tr>
      <w:tr w:rsidR="00A874CA" w14:paraId="17BBDB46" w14:textId="77777777" w:rsidTr="0005246F">
        <w:trPr>
          <w:cantSplit/>
        </w:trPr>
        <w:tc>
          <w:tcPr>
            <w:tcW w:w="1871" w:type="dxa"/>
          </w:tcPr>
          <w:p w14:paraId="68D813A9" w14:textId="77777777" w:rsidR="00A874CA" w:rsidRPr="000B3DC0" w:rsidRDefault="00A874CA" w:rsidP="00934E79">
            <w:pPr>
              <w:pStyle w:val="TableSideHeading"/>
              <w:rPr>
                <w:rtl/>
              </w:rPr>
            </w:pPr>
          </w:p>
        </w:tc>
        <w:tc>
          <w:tcPr>
            <w:tcW w:w="624" w:type="dxa"/>
          </w:tcPr>
          <w:p w14:paraId="44773C78" w14:textId="77777777" w:rsidR="00A874CA" w:rsidRPr="000B3DC0" w:rsidRDefault="00A874CA" w:rsidP="00934E79">
            <w:pPr>
              <w:pStyle w:val="TableText"/>
            </w:pPr>
          </w:p>
        </w:tc>
        <w:tc>
          <w:tcPr>
            <w:tcW w:w="7146" w:type="dxa"/>
            <w:gridSpan w:val="4"/>
            <w:hideMark/>
          </w:tcPr>
          <w:p w14:paraId="2D57AE06" w14:textId="77777777" w:rsidR="00A874CA" w:rsidRPr="000B3DC0" w:rsidRDefault="00A874CA" w:rsidP="0005246F">
            <w:pPr>
              <w:pStyle w:val="TableBlock"/>
            </w:pPr>
            <w:r w:rsidRPr="000B3DC0">
              <w:rPr>
                <w:rtl/>
              </w:rPr>
              <w:t>(6)</w:t>
            </w:r>
            <w:r w:rsidRPr="000B3DC0">
              <w:rPr>
                <w:rtl/>
              </w:rPr>
              <w:tab/>
              <w:t>שימור המורשת התרבותית של החברה הישראלית על כל גווניה;</w:t>
            </w:r>
          </w:p>
        </w:tc>
      </w:tr>
      <w:tr w:rsidR="00A874CA" w14:paraId="1D97D50D" w14:textId="77777777" w:rsidTr="0005246F">
        <w:trPr>
          <w:cantSplit/>
        </w:trPr>
        <w:tc>
          <w:tcPr>
            <w:tcW w:w="1871" w:type="dxa"/>
          </w:tcPr>
          <w:p w14:paraId="1CD7BDA9" w14:textId="77777777" w:rsidR="00A874CA" w:rsidRPr="000B3DC0" w:rsidRDefault="00A874CA" w:rsidP="00934E79">
            <w:pPr>
              <w:pStyle w:val="TableSideHeading"/>
              <w:rPr>
                <w:rtl/>
              </w:rPr>
            </w:pPr>
          </w:p>
        </w:tc>
        <w:tc>
          <w:tcPr>
            <w:tcW w:w="624" w:type="dxa"/>
          </w:tcPr>
          <w:p w14:paraId="1B93BCD6" w14:textId="77777777" w:rsidR="00A874CA" w:rsidRPr="000B3DC0" w:rsidRDefault="00A874CA" w:rsidP="00934E79">
            <w:pPr>
              <w:pStyle w:val="TableText"/>
            </w:pPr>
          </w:p>
        </w:tc>
        <w:tc>
          <w:tcPr>
            <w:tcW w:w="7146" w:type="dxa"/>
            <w:gridSpan w:val="4"/>
            <w:hideMark/>
          </w:tcPr>
          <w:p w14:paraId="0DC01950" w14:textId="70C6BA4C" w:rsidR="00A874CA" w:rsidRPr="000B3DC0" w:rsidRDefault="00A874CA" w:rsidP="0005246F">
            <w:pPr>
              <w:pStyle w:val="TableBlock"/>
            </w:pPr>
            <w:r w:rsidRPr="000B3DC0">
              <w:rPr>
                <w:rtl/>
              </w:rPr>
              <w:t>(7)</w:t>
            </w:r>
            <w:r w:rsidRPr="000B3DC0">
              <w:rPr>
                <w:rtl/>
              </w:rPr>
              <w:tab/>
              <w:t>תקציב המועצה הישראלית לתרבות ו</w:t>
            </w:r>
            <w:r w:rsidR="00141301">
              <w:rPr>
                <w:rtl/>
              </w:rPr>
              <w:t>אומנות</w:t>
            </w:r>
            <w:r w:rsidRPr="000B3DC0">
              <w:rPr>
                <w:rtl/>
              </w:rPr>
              <w:t>;".</w:t>
            </w:r>
          </w:p>
        </w:tc>
      </w:tr>
      <w:tr w:rsidR="00A874CA" w14:paraId="1C053FBF" w14:textId="77777777" w:rsidTr="0005246F">
        <w:trPr>
          <w:cantSplit/>
        </w:trPr>
        <w:tc>
          <w:tcPr>
            <w:tcW w:w="1871" w:type="dxa"/>
            <w:hideMark/>
          </w:tcPr>
          <w:p w14:paraId="64D51608" w14:textId="77777777" w:rsidR="00A874CA" w:rsidRPr="000B3DC0" w:rsidRDefault="00A874CA" w:rsidP="00934E79">
            <w:pPr>
              <w:pStyle w:val="TableSideHeading"/>
              <w:rPr>
                <w:rtl/>
              </w:rPr>
            </w:pPr>
            <w:r w:rsidRPr="000B3DC0">
              <w:rPr>
                <w:rtl/>
              </w:rPr>
              <w:t>תיקון סעיף 12</w:t>
            </w:r>
          </w:p>
        </w:tc>
        <w:tc>
          <w:tcPr>
            <w:tcW w:w="624" w:type="dxa"/>
            <w:hideMark/>
          </w:tcPr>
          <w:p w14:paraId="5DBB2797" w14:textId="77777777" w:rsidR="00A874CA" w:rsidRPr="000B3DC0" w:rsidRDefault="00A874CA" w:rsidP="00934E79">
            <w:pPr>
              <w:pStyle w:val="TableText"/>
            </w:pPr>
            <w:r w:rsidRPr="000B3DC0">
              <w:rPr>
                <w:rtl/>
              </w:rPr>
              <w:t>3.</w:t>
            </w:r>
          </w:p>
        </w:tc>
        <w:tc>
          <w:tcPr>
            <w:tcW w:w="7146" w:type="dxa"/>
            <w:gridSpan w:val="4"/>
            <w:hideMark/>
          </w:tcPr>
          <w:p w14:paraId="6FEAC144" w14:textId="77777777" w:rsidR="00A874CA" w:rsidRPr="000B3DC0" w:rsidRDefault="00A874CA" w:rsidP="0005246F">
            <w:pPr>
              <w:pStyle w:val="TableBlock"/>
            </w:pPr>
            <w:r w:rsidRPr="000B3DC0">
              <w:rPr>
                <w:rtl/>
              </w:rPr>
              <w:t>בסעיף 12 לחוק העיקרי, אחרי סעיף קטן (א) יבוא:</w:t>
            </w:r>
          </w:p>
        </w:tc>
      </w:tr>
      <w:tr w:rsidR="00A874CA" w14:paraId="35DAE0D8" w14:textId="77777777" w:rsidTr="0005246F">
        <w:trPr>
          <w:cantSplit/>
        </w:trPr>
        <w:tc>
          <w:tcPr>
            <w:tcW w:w="1871" w:type="dxa"/>
          </w:tcPr>
          <w:p w14:paraId="106B478C" w14:textId="77777777" w:rsidR="00A874CA" w:rsidRPr="000B3DC0" w:rsidRDefault="00A874CA" w:rsidP="00934E79">
            <w:pPr>
              <w:pStyle w:val="TableSideHeading"/>
              <w:rPr>
                <w:rtl/>
              </w:rPr>
            </w:pPr>
          </w:p>
        </w:tc>
        <w:tc>
          <w:tcPr>
            <w:tcW w:w="624" w:type="dxa"/>
          </w:tcPr>
          <w:p w14:paraId="7EA4926F" w14:textId="77777777" w:rsidR="00A874CA" w:rsidRPr="000B3DC0" w:rsidRDefault="00A874CA" w:rsidP="00934E79">
            <w:pPr>
              <w:pStyle w:val="TableText"/>
            </w:pPr>
          </w:p>
        </w:tc>
        <w:tc>
          <w:tcPr>
            <w:tcW w:w="7146" w:type="dxa"/>
            <w:gridSpan w:val="4"/>
            <w:hideMark/>
          </w:tcPr>
          <w:p w14:paraId="0A929E98" w14:textId="16EC6E2A" w:rsidR="00A874CA" w:rsidRPr="000B3DC0" w:rsidRDefault="00A874CA" w:rsidP="0005246F">
            <w:pPr>
              <w:pStyle w:val="TableBlock"/>
            </w:pPr>
            <w:r w:rsidRPr="000B3DC0">
              <w:rPr>
                <w:rtl/>
              </w:rPr>
              <w:t>"(א1)</w:t>
            </w:r>
            <w:r w:rsidRPr="000B3DC0">
              <w:rPr>
                <w:rtl/>
              </w:rPr>
              <w:tab/>
              <w:t>התקציב השנתי לתרבות ו</w:t>
            </w:r>
            <w:r w:rsidR="00141301">
              <w:rPr>
                <w:rtl/>
              </w:rPr>
              <w:t>אומנות</w:t>
            </w:r>
            <w:r w:rsidRPr="000B3DC0">
              <w:rPr>
                <w:rtl/>
              </w:rPr>
              <w:t xml:space="preserve"> לא יפחת מאחוז אחד מסך התקציב השנתי של מדינת ישראל כפי שנקבע בחוק התקציב השנתי של אותה שנה.</w:t>
            </w:r>
          </w:p>
        </w:tc>
      </w:tr>
      <w:tr w:rsidR="00A874CA" w14:paraId="54EF0CC1" w14:textId="77777777" w:rsidTr="0005246F">
        <w:trPr>
          <w:cantSplit/>
        </w:trPr>
        <w:tc>
          <w:tcPr>
            <w:tcW w:w="1871" w:type="dxa"/>
          </w:tcPr>
          <w:p w14:paraId="28F09E14" w14:textId="77777777" w:rsidR="00A874CA" w:rsidRPr="000B3DC0" w:rsidRDefault="00A874CA" w:rsidP="00934E79">
            <w:pPr>
              <w:pStyle w:val="TableSideHeading"/>
            </w:pPr>
          </w:p>
        </w:tc>
        <w:tc>
          <w:tcPr>
            <w:tcW w:w="624" w:type="dxa"/>
          </w:tcPr>
          <w:p w14:paraId="31ED366A" w14:textId="77777777" w:rsidR="00A874CA" w:rsidRPr="000B3DC0" w:rsidRDefault="00A874CA" w:rsidP="00934E79">
            <w:pPr>
              <w:pStyle w:val="TableText"/>
            </w:pPr>
          </w:p>
        </w:tc>
        <w:tc>
          <w:tcPr>
            <w:tcW w:w="7146" w:type="dxa"/>
            <w:gridSpan w:val="4"/>
            <w:hideMark/>
          </w:tcPr>
          <w:p w14:paraId="744D4F7B" w14:textId="074AF184" w:rsidR="00A874CA" w:rsidRPr="000B3DC0" w:rsidRDefault="00A874CA" w:rsidP="0005246F">
            <w:pPr>
              <w:pStyle w:val="TableBlock"/>
            </w:pPr>
            <w:r w:rsidRPr="000B3DC0">
              <w:rPr>
                <w:rtl/>
              </w:rPr>
              <w:t>(א2)</w:t>
            </w:r>
            <w:r w:rsidRPr="000B3DC0">
              <w:rPr>
                <w:rtl/>
              </w:rPr>
              <w:tab/>
              <w:t>לא ייקבע בחוק תקציב שנתי תקציב לתרבות וא</w:t>
            </w:r>
            <w:r w:rsidR="00141301">
              <w:rPr>
                <w:rFonts w:hint="cs"/>
                <w:rtl/>
              </w:rPr>
              <w:t>ו</w:t>
            </w:r>
            <w:r w:rsidRPr="000B3DC0">
              <w:rPr>
                <w:rtl/>
              </w:rPr>
              <w:t>מנות שהוא בשיעור שונה מהשיעור שנקבע בסעיף קטן (א1) אלא בנסיבות מיוחדות ואם צוין במפורש בחוק כי סעיף 12 לחוק לא יחול באותה שנת תקציב."</w:t>
            </w:r>
          </w:p>
        </w:tc>
      </w:tr>
      <w:tr w:rsidR="00A874CA" w14:paraId="5A30602B" w14:textId="77777777" w:rsidTr="0005246F">
        <w:trPr>
          <w:cantSplit/>
        </w:trPr>
        <w:tc>
          <w:tcPr>
            <w:tcW w:w="1871" w:type="dxa"/>
            <w:hideMark/>
          </w:tcPr>
          <w:p w14:paraId="71C937AE" w14:textId="77777777" w:rsidR="00A874CA" w:rsidRPr="000B3DC0" w:rsidRDefault="00A874CA" w:rsidP="00934E79">
            <w:pPr>
              <w:pStyle w:val="TableSideHeading"/>
              <w:rPr>
                <w:rtl/>
              </w:rPr>
            </w:pPr>
            <w:r w:rsidRPr="000B3DC0">
              <w:rPr>
                <w:rtl/>
              </w:rPr>
              <w:t>החלה בהדרגה</w:t>
            </w:r>
          </w:p>
        </w:tc>
        <w:tc>
          <w:tcPr>
            <w:tcW w:w="624" w:type="dxa"/>
            <w:hideMark/>
          </w:tcPr>
          <w:p w14:paraId="4F69F9CF" w14:textId="77777777" w:rsidR="00A874CA" w:rsidRPr="000B3DC0" w:rsidRDefault="00A874CA" w:rsidP="00934E79">
            <w:pPr>
              <w:pStyle w:val="TableText"/>
            </w:pPr>
            <w:r w:rsidRPr="000B3DC0">
              <w:rPr>
                <w:rtl/>
              </w:rPr>
              <w:t>4.</w:t>
            </w:r>
          </w:p>
        </w:tc>
        <w:tc>
          <w:tcPr>
            <w:tcW w:w="7146" w:type="dxa"/>
            <w:gridSpan w:val="4"/>
            <w:hideMark/>
          </w:tcPr>
          <w:p w14:paraId="2FA14DBF" w14:textId="61200787" w:rsidR="00A874CA" w:rsidRPr="000B3DC0" w:rsidRDefault="00A874CA" w:rsidP="0005246F">
            <w:pPr>
              <w:pStyle w:val="TableBlock"/>
            </w:pPr>
            <w:r w:rsidRPr="000B3DC0">
              <w:rPr>
                <w:rtl/>
              </w:rPr>
              <w:t>(א)</w:t>
            </w:r>
            <w:r w:rsidRPr="000B3DC0">
              <w:rPr>
                <w:rtl/>
              </w:rPr>
              <w:tab/>
              <w:t xml:space="preserve">על אף האמור בסעיף קטן 12(א1), כנוסחו בסעיף 3 לחוק זה, החל משנת התקציב </w:t>
            </w:r>
            <w:r>
              <w:rPr>
                <w:rFonts w:hint="cs"/>
                <w:rtl/>
              </w:rPr>
              <w:t>2021</w:t>
            </w:r>
            <w:r w:rsidRPr="000B3DC0">
              <w:rPr>
                <w:rtl/>
              </w:rPr>
              <w:t xml:space="preserve"> ועד שנת התקציב 202</w:t>
            </w:r>
            <w:r>
              <w:rPr>
                <w:rFonts w:hint="cs"/>
                <w:rtl/>
              </w:rPr>
              <w:t>8</w:t>
            </w:r>
            <w:r w:rsidRPr="000B3DC0">
              <w:rPr>
                <w:rtl/>
              </w:rPr>
              <w:t xml:space="preserve"> (בסעיף זה – שנות התקציב), לא יפחת התקציב השנתי לתרבות וא</w:t>
            </w:r>
            <w:r w:rsidR="00141301">
              <w:rPr>
                <w:rFonts w:hint="cs"/>
                <w:rtl/>
              </w:rPr>
              <w:t>ו</w:t>
            </w:r>
            <w:r w:rsidRPr="000B3DC0">
              <w:rPr>
                <w:rtl/>
              </w:rPr>
              <w:t>מנות מהשיעור שלהלן:</w:t>
            </w:r>
          </w:p>
        </w:tc>
      </w:tr>
      <w:tr w:rsidR="00A874CA" w14:paraId="2542301F" w14:textId="77777777" w:rsidTr="0005246F">
        <w:trPr>
          <w:cantSplit/>
        </w:trPr>
        <w:tc>
          <w:tcPr>
            <w:tcW w:w="1871" w:type="dxa"/>
          </w:tcPr>
          <w:p w14:paraId="0CE62BEA" w14:textId="77777777" w:rsidR="00A874CA" w:rsidRPr="000B3DC0" w:rsidRDefault="00A874CA" w:rsidP="00934E79">
            <w:pPr>
              <w:pStyle w:val="TableSideHeading"/>
              <w:rPr>
                <w:rtl/>
              </w:rPr>
            </w:pPr>
          </w:p>
        </w:tc>
        <w:tc>
          <w:tcPr>
            <w:tcW w:w="624" w:type="dxa"/>
          </w:tcPr>
          <w:p w14:paraId="752F5EC3" w14:textId="77777777" w:rsidR="00A874CA" w:rsidRPr="000B3DC0" w:rsidRDefault="00A874CA" w:rsidP="00934E79">
            <w:pPr>
              <w:pStyle w:val="TableText"/>
              <w:jc w:val="both"/>
            </w:pPr>
          </w:p>
        </w:tc>
        <w:tc>
          <w:tcPr>
            <w:tcW w:w="624" w:type="dxa"/>
          </w:tcPr>
          <w:p w14:paraId="355345DE" w14:textId="77777777" w:rsidR="00A874CA" w:rsidRPr="000B3DC0" w:rsidRDefault="00A874CA" w:rsidP="00934E79">
            <w:pPr>
              <w:pStyle w:val="TableText"/>
              <w:jc w:val="both"/>
            </w:pPr>
          </w:p>
        </w:tc>
        <w:tc>
          <w:tcPr>
            <w:tcW w:w="6522" w:type="dxa"/>
            <w:gridSpan w:val="3"/>
            <w:hideMark/>
          </w:tcPr>
          <w:p w14:paraId="56AC2632" w14:textId="77777777" w:rsidR="00A874CA" w:rsidRPr="000B3DC0" w:rsidRDefault="00A874CA" w:rsidP="0005246F">
            <w:pPr>
              <w:pStyle w:val="TableBlock"/>
            </w:pPr>
            <w:r w:rsidRPr="000B3DC0">
              <w:rPr>
                <w:rtl/>
              </w:rPr>
              <w:t>(1)</w:t>
            </w:r>
            <w:r w:rsidRPr="000B3DC0">
              <w:rPr>
                <w:rtl/>
              </w:rPr>
              <w:tab/>
              <w:t>בשנת התקציב 20</w:t>
            </w:r>
            <w:r>
              <w:rPr>
                <w:rFonts w:hint="cs"/>
                <w:rtl/>
              </w:rPr>
              <w:t>21</w:t>
            </w:r>
            <w:r w:rsidRPr="000B3DC0">
              <w:rPr>
                <w:rtl/>
              </w:rPr>
              <w:t xml:space="preserve"> – 0.30 אחוז מסך התקציב השנתי של מדינת ישראל;</w:t>
            </w:r>
          </w:p>
        </w:tc>
      </w:tr>
      <w:tr w:rsidR="00A874CA" w14:paraId="3320082C" w14:textId="77777777" w:rsidTr="0005246F">
        <w:trPr>
          <w:cantSplit/>
        </w:trPr>
        <w:tc>
          <w:tcPr>
            <w:tcW w:w="1871" w:type="dxa"/>
          </w:tcPr>
          <w:p w14:paraId="773CD493" w14:textId="77777777" w:rsidR="00A874CA" w:rsidRPr="000B3DC0" w:rsidRDefault="00A874CA" w:rsidP="00934E79">
            <w:pPr>
              <w:pStyle w:val="TableSideHeading"/>
            </w:pPr>
          </w:p>
        </w:tc>
        <w:tc>
          <w:tcPr>
            <w:tcW w:w="624" w:type="dxa"/>
          </w:tcPr>
          <w:p w14:paraId="73B3F7E5" w14:textId="77777777" w:rsidR="00A874CA" w:rsidRPr="000B3DC0" w:rsidRDefault="00A874CA" w:rsidP="00934E79">
            <w:pPr>
              <w:pStyle w:val="TableText"/>
              <w:jc w:val="both"/>
            </w:pPr>
          </w:p>
        </w:tc>
        <w:tc>
          <w:tcPr>
            <w:tcW w:w="624" w:type="dxa"/>
          </w:tcPr>
          <w:p w14:paraId="5A3A0CFE" w14:textId="77777777" w:rsidR="00A874CA" w:rsidRPr="000B3DC0" w:rsidRDefault="00A874CA" w:rsidP="00934E79">
            <w:pPr>
              <w:pStyle w:val="TableText"/>
              <w:jc w:val="both"/>
            </w:pPr>
          </w:p>
        </w:tc>
        <w:tc>
          <w:tcPr>
            <w:tcW w:w="6522" w:type="dxa"/>
            <w:gridSpan w:val="3"/>
            <w:hideMark/>
          </w:tcPr>
          <w:p w14:paraId="00114F68" w14:textId="77777777" w:rsidR="00A874CA" w:rsidRPr="000B3DC0" w:rsidRDefault="00A874CA" w:rsidP="0005246F">
            <w:pPr>
              <w:pStyle w:val="TableBlock"/>
            </w:pPr>
            <w:r w:rsidRPr="000B3DC0">
              <w:rPr>
                <w:rtl/>
              </w:rPr>
              <w:t>(2)</w:t>
            </w:r>
            <w:r w:rsidRPr="000B3DC0">
              <w:rPr>
                <w:rtl/>
              </w:rPr>
              <w:tab/>
              <w:t xml:space="preserve">בשנת התקציב </w:t>
            </w:r>
            <w:r>
              <w:rPr>
                <w:rFonts w:hint="cs"/>
                <w:rtl/>
              </w:rPr>
              <w:t>2022</w:t>
            </w:r>
            <w:r w:rsidRPr="000B3DC0">
              <w:rPr>
                <w:rtl/>
              </w:rPr>
              <w:t xml:space="preserve"> – 0.40 אחוז מסך התקציב השנתי של מדינת ישראל;</w:t>
            </w:r>
          </w:p>
        </w:tc>
      </w:tr>
      <w:tr w:rsidR="00A874CA" w14:paraId="12665CEB" w14:textId="77777777" w:rsidTr="0005246F">
        <w:trPr>
          <w:cantSplit/>
        </w:trPr>
        <w:tc>
          <w:tcPr>
            <w:tcW w:w="1871" w:type="dxa"/>
          </w:tcPr>
          <w:p w14:paraId="6EE64D16" w14:textId="77777777" w:rsidR="00A874CA" w:rsidRPr="000B3DC0" w:rsidRDefault="00A874CA" w:rsidP="00934E79">
            <w:pPr>
              <w:pStyle w:val="TableSideHeading"/>
            </w:pPr>
          </w:p>
        </w:tc>
        <w:tc>
          <w:tcPr>
            <w:tcW w:w="624" w:type="dxa"/>
          </w:tcPr>
          <w:p w14:paraId="142828F3" w14:textId="77777777" w:rsidR="00A874CA" w:rsidRPr="000B3DC0" w:rsidRDefault="00A874CA" w:rsidP="00934E79">
            <w:pPr>
              <w:pStyle w:val="TableText"/>
              <w:jc w:val="both"/>
            </w:pPr>
          </w:p>
        </w:tc>
        <w:tc>
          <w:tcPr>
            <w:tcW w:w="624" w:type="dxa"/>
          </w:tcPr>
          <w:p w14:paraId="63B7B1BD" w14:textId="77777777" w:rsidR="00A874CA" w:rsidRPr="000B3DC0" w:rsidRDefault="00A874CA" w:rsidP="00934E79">
            <w:pPr>
              <w:pStyle w:val="TableText"/>
              <w:jc w:val="both"/>
            </w:pPr>
          </w:p>
        </w:tc>
        <w:tc>
          <w:tcPr>
            <w:tcW w:w="6522" w:type="dxa"/>
            <w:gridSpan w:val="3"/>
            <w:hideMark/>
          </w:tcPr>
          <w:p w14:paraId="192A9A18" w14:textId="77777777" w:rsidR="00A874CA" w:rsidRPr="000B3DC0" w:rsidRDefault="00A874CA" w:rsidP="0005246F">
            <w:pPr>
              <w:pStyle w:val="TableBlock"/>
            </w:pPr>
            <w:r w:rsidRPr="000B3DC0">
              <w:rPr>
                <w:rtl/>
              </w:rPr>
              <w:t>(3)</w:t>
            </w:r>
            <w:r w:rsidRPr="000B3DC0">
              <w:rPr>
                <w:rtl/>
              </w:rPr>
              <w:tab/>
              <w:t xml:space="preserve">בשנת התקציב </w:t>
            </w:r>
            <w:r>
              <w:rPr>
                <w:rFonts w:hint="cs"/>
                <w:rtl/>
              </w:rPr>
              <w:t>2023</w:t>
            </w:r>
            <w:r w:rsidRPr="000B3DC0">
              <w:rPr>
                <w:rtl/>
              </w:rPr>
              <w:t xml:space="preserve"> – 0.50 אחוז מסך התקציב השנתי של מדינת ישראל;</w:t>
            </w:r>
          </w:p>
        </w:tc>
      </w:tr>
      <w:tr w:rsidR="00A874CA" w14:paraId="55B9D2F9" w14:textId="77777777" w:rsidTr="0005246F">
        <w:trPr>
          <w:cantSplit/>
        </w:trPr>
        <w:tc>
          <w:tcPr>
            <w:tcW w:w="1871" w:type="dxa"/>
          </w:tcPr>
          <w:p w14:paraId="7C0760CF" w14:textId="77777777" w:rsidR="00A874CA" w:rsidRPr="000B3DC0" w:rsidRDefault="00A874CA" w:rsidP="00934E79">
            <w:pPr>
              <w:pStyle w:val="TableSideHeading"/>
            </w:pPr>
          </w:p>
        </w:tc>
        <w:tc>
          <w:tcPr>
            <w:tcW w:w="624" w:type="dxa"/>
          </w:tcPr>
          <w:p w14:paraId="4219E34E" w14:textId="77777777" w:rsidR="00A874CA" w:rsidRPr="000B3DC0" w:rsidRDefault="00A874CA" w:rsidP="00934E79">
            <w:pPr>
              <w:pStyle w:val="TableText"/>
              <w:jc w:val="both"/>
            </w:pPr>
          </w:p>
        </w:tc>
        <w:tc>
          <w:tcPr>
            <w:tcW w:w="624" w:type="dxa"/>
          </w:tcPr>
          <w:p w14:paraId="7631F5C8" w14:textId="77777777" w:rsidR="00A874CA" w:rsidRPr="000B3DC0" w:rsidRDefault="00A874CA" w:rsidP="00934E79">
            <w:pPr>
              <w:pStyle w:val="TableText"/>
              <w:jc w:val="both"/>
            </w:pPr>
          </w:p>
        </w:tc>
        <w:tc>
          <w:tcPr>
            <w:tcW w:w="6522" w:type="dxa"/>
            <w:gridSpan w:val="3"/>
            <w:hideMark/>
          </w:tcPr>
          <w:p w14:paraId="75AF00AD" w14:textId="77777777" w:rsidR="00A874CA" w:rsidRPr="000B3DC0" w:rsidRDefault="00A874CA" w:rsidP="0005246F">
            <w:pPr>
              <w:pStyle w:val="TableBlock"/>
            </w:pPr>
            <w:r w:rsidRPr="000B3DC0">
              <w:rPr>
                <w:rtl/>
              </w:rPr>
              <w:t>(4)</w:t>
            </w:r>
            <w:r w:rsidRPr="000B3DC0">
              <w:rPr>
                <w:rtl/>
              </w:rPr>
              <w:tab/>
              <w:t>בשנת התקציב 2</w:t>
            </w:r>
            <w:r>
              <w:rPr>
                <w:rFonts w:hint="cs"/>
                <w:rtl/>
              </w:rPr>
              <w:t>024</w:t>
            </w:r>
            <w:r w:rsidRPr="000B3DC0">
              <w:rPr>
                <w:rtl/>
              </w:rPr>
              <w:t xml:space="preserve"> – 0.60 אחוז מסך התקציב השנתי של מדינת ישראל.</w:t>
            </w:r>
          </w:p>
        </w:tc>
      </w:tr>
      <w:tr w:rsidR="00A874CA" w14:paraId="4C05D9F8" w14:textId="77777777" w:rsidTr="0005246F">
        <w:trPr>
          <w:cantSplit/>
        </w:trPr>
        <w:tc>
          <w:tcPr>
            <w:tcW w:w="1871" w:type="dxa"/>
          </w:tcPr>
          <w:p w14:paraId="54DF8A79" w14:textId="77777777" w:rsidR="00A874CA" w:rsidRPr="000B3DC0" w:rsidRDefault="00A874CA" w:rsidP="00934E79">
            <w:pPr>
              <w:pStyle w:val="TableSideHeading"/>
            </w:pPr>
          </w:p>
        </w:tc>
        <w:tc>
          <w:tcPr>
            <w:tcW w:w="624" w:type="dxa"/>
          </w:tcPr>
          <w:p w14:paraId="1ED03301" w14:textId="77777777" w:rsidR="00A874CA" w:rsidRPr="000B3DC0" w:rsidRDefault="00A874CA" w:rsidP="00934E79">
            <w:pPr>
              <w:pStyle w:val="TableText"/>
              <w:jc w:val="both"/>
            </w:pPr>
          </w:p>
        </w:tc>
        <w:tc>
          <w:tcPr>
            <w:tcW w:w="624" w:type="dxa"/>
          </w:tcPr>
          <w:p w14:paraId="3441682F" w14:textId="77777777" w:rsidR="00A874CA" w:rsidRPr="000B3DC0" w:rsidRDefault="00A874CA" w:rsidP="00934E79">
            <w:pPr>
              <w:pStyle w:val="TableText"/>
              <w:jc w:val="both"/>
            </w:pPr>
          </w:p>
        </w:tc>
        <w:tc>
          <w:tcPr>
            <w:tcW w:w="6522" w:type="dxa"/>
            <w:gridSpan w:val="3"/>
            <w:hideMark/>
          </w:tcPr>
          <w:p w14:paraId="4C469D1A" w14:textId="77777777" w:rsidR="00A874CA" w:rsidRPr="000B3DC0" w:rsidRDefault="00A874CA" w:rsidP="0005246F">
            <w:pPr>
              <w:pStyle w:val="TableBlock"/>
            </w:pPr>
            <w:r w:rsidRPr="000B3DC0">
              <w:rPr>
                <w:rtl/>
              </w:rPr>
              <w:t>(5)</w:t>
            </w:r>
            <w:r w:rsidRPr="000B3DC0">
              <w:rPr>
                <w:rtl/>
              </w:rPr>
              <w:tab/>
              <w:t>בשנת התקציב 2</w:t>
            </w:r>
            <w:r>
              <w:rPr>
                <w:rFonts w:hint="cs"/>
                <w:rtl/>
              </w:rPr>
              <w:t>025</w:t>
            </w:r>
            <w:r w:rsidRPr="000B3DC0">
              <w:rPr>
                <w:rtl/>
              </w:rPr>
              <w:t xml:space="preserve"> – 0.70 אחוזים מסך התקציב השנתי של מדינת ישראל;</w:t>
            </w:r>
          </w:p>
        </w:tc>
      </w:tr>
      <w:tr w:rsidR="00A874CA" w14:paraId="66AFAA81" w14:textId="77777777" w:rsidTr="0005246F">
        <w:trPr>
          <w:cantSplit/>
        </w:trPr>
        <w:tc>
          <w:tcPr>
            <w:tcW w:w="1871" w:type="dxa"/>
          </w:tcPr>
          <w:p w14:paraId="1787CBAC" w14:textId="77777777" w:rsidR="00A874CA" w:rsidRPr="000B3DC0" w:rsidRDefault="00A874CA" w:rsidP="00934E79">
            <w:pPr>
              <w:pStyle w:val="TableSideHeading"/>
              <w:rPr>
                <w:rtl/>
              </w:rPr>
            </w:pPr>
          </w:p>
        </w:tc>
        <w:tc>
          <w:tcPr>
            <w:tcW w:w="624" w:type="dxa"/>
          </w:tcPr>
          <w:p w14:paraId="4F9D5163" w14:textId="77777777" w:rsidR="00A874CA" w:rsidRPr="000B3DC0" w:rsidRDefault="00A874CA" w:rsidP="00934E79">
            <w:pPr>
              <w:pStyle w:val="TableText"/>
              <w:jc w:val="both"/>
            </w:pPr>
          </w:p>
        </w:tc>
        <w:tc>
          <w:tcPr>
            <w:tcW w:w="624" w:type="dxa"/>
          </w:tcPr>
          <w:p w14:paraId="61481CE1" w14:textId="77777777" w:rsidR="00A874CA" w:rsidRPr="000B3DC0" w:rsidRDefault="00A874CA" w:rsidP="00934E79">
            <w:pPr>
              <w:pStyle w:val="TableText"/>
              <w:jc w:val="both"/>
            </w:pPr>
          </w:p>
        </w:tc>
        <w:tc>
          <w:tcPr>
            <w:tcW w:w="6522" w:type="dxa"/>
            <w:gridSpan w:val="3"/>
            <w:hideMark/>
          </w:tcPr>
          <w:p w14:paraId="2688BC61" w14:textId="77777777" w:rsidR="00A874CA" w:rsidRPr="000B3DC0" w:rsidRDefault="00A874CA" w:rsidP="0005246F">
            <w:pPr>
              <w:pStyle w:val="TableBlock"/>
            </w:pPr>
            <w:r w:rsidRPr="000B3DC0">
              <w:rPr>
                <w:rtl/>
              </w:rPr>
              <w:t>(6)</w:t>
            </w:r>
            <w:r w:rsidRPr="000B3DC0">
              <w:rPr>
                <w:rtl/>
              </w:rPr>
              <w:tab/>
              <w:t>בשנת התקציב 20</w:t>
            </w:r>
            <w:r>
              <w:rPr>
                <w:rFonts w:hint="cs"/>
                <w:rtl/>
              </w:rPr>
              <w:t>26</w:t>
            </w:r>
            <w:r w:rsidRPr="000B3DC0">
              <w:rPr>
                <w:rtl/>
              </w:rPr>
              <w:t xml:space="preserve"> – 0.80 אחוזים מסך התקציב השנתי של מדינת ישראל;</w:t>
            </w:r>
          </w:p>
        </w:tc>
      </w:tr>
      <w:tr w:rsidR="00A874CA" w14:paraId="45CDC93A" w14:textId="77777777" w:rsidTr="0005246F">
        <w:trPr>
          <w:cantSplit/>
        </w:trPr>
        <w:tc>
          <w:tcPr>
            <w:tcW w:w="1871" w:type="dxa"/>
          </w:tcPr>
          <w:p w14:paraId="7C2D0BD3" w14:textId="77777777" w:rsidR="00A874CA" w:rsidRPr="000B3DC0" w:rsidRDefault="00A874CA" w:rsidP="00934E79">
            <w:pPr>
              <w:pStyle w:val="TableSideHeading"/>
              <w:rPr>
                <w:rtl/>
              </w:rPr>
            </w:pPr>
          </w:p>
        </w:tc>
        <w:tc>
          <w:tcPr>
            <w:tcW w:w="624" w:type="dxa"/>
          </w:tcPr>
          <w:p w14:paraId="672B8C3F" w14:textId="77777777" w:rsidR="00A874CA" w:rsidRPr="000B3DC0" w:rsidRDefault="00A874CA" w:rsidP="00934E79">
            <w:pPr>
              <w:pStyle w:val="TableText"/>
              <w:jc w:val="both"/>
            </w:pPr>
          </w:p>
        </w:tc>
        <w:tc>
          <w:tcPr>
            <w:tcW w:w="624" w:type="dxa"/>
          </w:tcPr>
          <w:p w14:paraId="0CB02AA0" w14:textId="77777777" w:rsidR="00A874CA" w:rsidRPr="000B3DC0" w:rsidRDefault="00A874CA" w:rsidP="00934E79">
            <w:pPr>
              <w:pStyle w:val="TableText"/>
              <w:jc w:val="both"/>
            </w:pPr>
          </w:p>
        </w:tc>
        <w:tc>
          <w:tcPr>
            <w:tcW w:w="6522" w:type="dxa"/>
            <w:gridSpan w:val="3"/>
            <w:hideMark/>
          </w:tcPr>
          <w:p w14:paraId="5D5FF884" w14:textId="77777777" w:rsidR="00A874CA" w:rsidRPr="000B3DC0" w:rsidRDefault="00A874CA" w:rsidP="0005246F">
            <w:pPr>
              <w:pStyle w:val="TableBlock"/>
            </w:pPr>
            <w:r w:rsidRPr="000B3DC0">
              <w:rPr>
                <w:rtl/>
              </w:rPr>
              <w:t>(7)    בשנת התקציב 20</w:t>
            </w:r>
            <w:r>
              <w:rPr>
                <w:rFonts w:hint="cs"/>
                <w:rtl/>
              </w:rPr>
              <w:t>27</w:t>
            </w:r>
            <w:r w:rsidRPr="000B3DC0">
              <w:rPr>
                <w:rtl/>
              </w:rPr>
              <w:t xml:space="preserve"> – 0.90 אחוזים מסך התקציב השנתי של מדינת ישראל;</w:t>
            </w:r>
          </w:p>
        </w:tc>
      </w:tr>
      <w:tr w:rsidR="00A874CA" w14:paraId="29F858F7" w14:textId="77777777" w:rsidTr="0005246F">
        <w:trPr>
          <w:cantSplit/>
        </w:trPr>
        <w:tc>
          <w:tcPr>
            <w:tcW w:w="1871" w:type="dxa"/>
          </w:tcPr>
          <w:p w14:paraId="02AD97C8" w14:textId="77777777" w:rsidR="00A874CA" w:rsidRPr="000B3DC0" w:rsidRDefault="00A874CA" w:rsidP="00934E79">
            <w:pPr>
              <w:pStyle w:val="TableSideHeading"/>
              <w:rPr>
                <w:rtl/>
              </w:rPr>
            </w:pPr>
          </w:p>
        </w:tc>
        <w:tc>
          <w:tcPr>
            <w:tcW w:w="624" w:type="dxa"/>
          </w:tcPr>
          <w:p w14:paraId="58A481BC" w14:textId="77777777" w:rsidR="00A874CA" w:rsidRPr="000B3DC0" w:rsidRDefault="00A874CA" w:rsidP="00934E79">
            <w:pPr>
              <w:pStyle w:val="TableText"/>
              <w:jc w:val="both"/>
            </w:pPr>
          </w:p>
        </w:tc>
        <w:tc>
          <w:tcPr>
            <w:tcW w:w="624" w:type="dxa"/>
          </w:tcPr>
          <w:p w14:paraId="3A11FE57" w14:textId="77777777" w:rsidR="00A874CA" w:rsidRPr="000B3DC0" w:rsidRDefault="00A874CA" w:rsidP="00934E79">
            <w:pPr>
              <w:pStyle w:val="TableText"/>
              <w:jc w:val="both"/>
            </w:pPr>
          </w:p>
        </w:tc>
        <w:tc>
          <w:tcPr>
            <w:tcW w:w="6522" w:type="dxa"/>
            <w:gridSpan w:val="3"/>
            <w:hideMark/>
          </w:tcPr>
          <w:p w14:paraId="5F570F71" w14:textId="77777777" w:rsidR="00A874CA" w:rsidRPr="000B3DC0" w:rsidRDefault="00A874CA" w:rsidP="0005246F">
            <w:pPr>
              <w:pStyle w:val="TableBlock"/>
            </w:pPr>
            <w:r w:rsidRPr="000B3DC0">
              <w:rPr>
                <w:rtl/>
              </w:rPr>
              <w:t>(8)      בשנת התקציב 202</w:t>
            </w:r>
            <w:r>
              <w:rPr>
                <w:rFonts w:hint="cs"/>
                <w:rtl/>
              </w:rPr>
              <w:t>8</w:t>
            </w:r>
            <w:r w:rsidRPr="000B3DC0">
              <w:rPr>
                <w:rtl/>
              </w:rPr>
              <w:t xml:space="preserve"> – 1.00 אחוז מסך התקציב השנתי של מדינת ישראל.</w:t>
            </w:r>
          </w:p>
        </w:tc>
      </w:tr>
      <w:tr w:rsidR="00A874CA" w14:paraId="1E5C5B03" w14:textId="77777777" w:rsidTr="0005246F">
        <w:trPr>
          <w:cantSplit/>
        </w:trPr>
        <w:tc>
          <w:tcPr>
            <w:tcW w:w="1871" w:type="dxa"/>
          </w:tcPr>
          <w:p w14:paraId="3779B953" w14:textId="77777777" w:rsidR="00A874CA" w:rsidRPr="000B3DC0" w:rsidRDefault="00A874CA" w:rsidP="00934E79">
            <w:pPr>
              <w:pStyle w:val="TableSideHeading"/>
              <w:rPr>
                <w:rtl/>
              </w:rPr>
            </w:pPr>
          </w:p>
        </w:tc>
        <w:tc>
          <w:tcPr>
            <w:tcW w:w="624" w:type="dxa"/>
          </w:tcPr>
          <w:p w14:paraId="53C76477" w14:textId="77777777" w:rsidR="00A874CA" w:rsidRPr="000B3DC0" w:rsidRDefault="00A874CA" w:rsidP="00934E79">
            <w:pPr>
              <w:pStyle w:val="TableText"/>
              <w:jc w:val="both"/>
            </w:pPr>
          </w:p>
        </w:tc>
        <w:tc>
          <w:tcPr>
            <w:tcW w:w="7143" w:type="dxa"/>
            <w:gridSpan w:val="4"/>
            <w:hideMark/>
          </w:tcPr>
          <w:p w14:paraId="236615BB" w14:textId="77777777" w:rsidR="00A874CA" w:rsidRPr="000B3DC0" w:rsidRDefault="00A874CA" w:rsidP="0005246F">
            <w:pPr>
              <w:pStyle w:val="TableBlock"/>
            </w:pPr>
            <w:r w:rsidRPr="000B3DC0">
              <w:rPr>
                <w:rtl/>
              </w:rPr>
              <w:t>(ב)</w:t>
            </w:r>
            <w:r w:rsidRPr="000B3DC0">
              <w:rPr>
                <w:rtl/>
              </w:rPr>
              <w:tab/>
              <w:t>לא ייקבע בחוק תקציב שנתי באחת משנות התקציב שיעור שונה מהאמור בסעיף קטן (א) אלא בנסיבות מיוחדות ואם צוין במפורש בחוק כי הוראת אותו סעיף לא תחול באותה שנת תקציב.</w:t>
            </w:r>
          </w:p>
        </w:tc>
      </w:tr>
    </w:tbl>
    <w:p w14:paraId="7F6961CA" w14:textId="77777777" w:rsidR="002D1EE3" w:rsidRDefault="002D1EE3" w:rsidP="002D1EE3">
      <w:pPr>
        <w:pStyle w:val="HeadDivreiHesber"/>
        <w:rPr>
          <w:rtl/>
        </w:rPr>
      </w:pPr>
      <w:r w:rsidRPr="0027450A">
        <w:rPr>
          <w:rFonts w:hint="cs"/>
          <w:rtl/>
        </w:rPr>
        <w:lastRenderedPageBreak/>
        <w:t>דברי הסבר</w:t>
      </w:r>
    </w:p>
    <w:p w14:paraId="2BDA25FF" w14:textId="02F96A8F" w:rsidR="00A874CA" w:rsidRDefault="00A874CA" w:rsidP="00D40BB4">
      <w:pPr>
        <w:pStyle w:val="Hesber"/>
        <w:ind w:firstLine="0"/>
        <w:rPr>
          <w:rtl/>
        </w:rPr>
      </w:pPr>
      <w:r>
        <w:rPr>
          <w:rtl/>
        </w:rPr>
        <w:t>מאז ימי קדם נזקקו יוצרים ואמנים לחסות השלטונות ולמימונם כדי לקיים את העשייה הא</w:t>
      </w:r>
      <w:r w:rsidR="00141301">
        <w:rPr>
          <w:rFonts w:hint="cs"/>
          <w:rtl/>
        </w:rPr>
        <w:t>ו</w:t>
      </w:r>
      <w:r>
        <w:rPr>
          <w:rtl/>
        </w:rPr>
        <w:t>מנותית. ואולם בעוד שבעבר ניתן המימון על פי גחמות השליט, הרי שבעידן המודרני השלטון מכיר בזכותו של אדם ליצור ולבטא את עצמו ובתרומתה של העשייה התרבותית לחוסן החברתי. לפיכך, כדי להבטיח שתקצוב התרבות והא</w:t>
      </w:r>
      <w:r w:rsidR="00141301">
        <w:rPr>
          <w:rFonts w:hint="cs"/>
          <w:rtl/>
        </w:rPr>
        <w:t>ו</w:t>
      </w:r>
      <w:r>
        <w:rPr>
          <w:rtl/>
        </w:rPr>
        <w:t>מנות יאפשר יצירה איכותית עם אופק ויציבות, נדרש לעגן תקציב זה בחוק.</w:t>
      </w:r>
    </w:p>
    <w:p w14:paraId="6AF072DD" w14:textId="35799351" w:rsidR="00A874CA" w:rsidRDefault="00A874CA" w:rsidP="00A874CA">
      <w:pPr>
        <w:pStyle w:val="Hesber"/>
        <w:rPr>
          <w:rtl/>
        </w:rPr>
      </w:pPr>
      <w:r>
        <w:rPr>
          <w:rtl/>
        </w:rPr>
        <w:t>בהתאם לכך, החליטה אונסק"ו בשנת 1998 להמליץ למדינות החברות בארגון להקצות לפחות אחוז אחד מסך תקציב המדינה לנושא התרבות. החלטה זו נועדה לממש את זכותו של כל אדם לצרוך תרבות וליטול חלק בעשייה התרבותית והא</w:t>
      </w:r>
      <w:r w:rsidR="00141301">
        <w:rPr>
          <w:rFonts w:hint="cs"/>
          <w:rtl/>
        </w:rPr>
        <w:t>ו</w:t>
      </w:r>
      <w:r>
        <w:rPr>
          <w:rtl/>
        </w:rPr>
        <w:t>מנותית.</w:t>
      </w:r>
    </w:p>
    <w:p w14:paraId="25737036" w14:textId="122D7EF8" w:rsidR="00A874CA" w:rsidRDefault="00A874CA" w:rsidP="00A874CA">
      <w:pPr>
        <w:pStyle w:val="Hesber"/>
        <w:rPr>
          <w:rtl/>
        </w:rPr>
      </w:pPr>
      <w:r>
        <w:rPr>
          <w:rtl/>
        </w:rPr>
        <w:t>התקציב השנתי לתרבות ו</w:t>
      </w:r>
      <w:r w:rsidR="00141301">
        <w:rPr>
          <w:rFonts w:hint="cs"/>
          <w:rtl/>
        </w:rPr>
        <w:t>ל</w:t>
      </w:r>
      <w:r>
        <w:rPr>
          <w:rtl/>
        </w:rPr>
        <w:t>א</w:t>
      </w:r>
      <w:r w:rsidR="00141301">
        <w:rPr>
          <w:rFonts w:hint="cs"/>
          <w:rtl/>
        </w:rPr>
        <w:t>ו</w:t>
      </w:r>
      <w:r>
        <w:rPr>
          <w:rtl/>
        </w:rPr>
        <w:t xml:space="preserve">מנות בישראל עומד על פחות מ-0.2% מסך התקציב השנתי של המדינה. תקציב זה נמוך משמעותית מהתקצוב המקובל במדינות המערב, והכול כאשר מדינת ישראל היא מדינה קולטת עלייה וקיימים בה עקב כך גווני תרבות רבים ומורכבים. </w:t>
      </w:r>
    </w:p>
    <w:p w14:paraId="58A49F0F" w14:textId="42DFB1C9" w:rsidR="00A874CA" w:rsidRDefault="00A874CA" w:rsidP="00A874CA">
      <w:pPr>
        <w:pStyle w:val="Hesber"/>
        <w:rPr>
          <w:rtl/>
        </w:rPr>
      </w:pPr>
      <w:r>
        <w:rPr>
          <w:rtl/>
        </w:rPr>
        <w:t>כתוצאה מהתקצוב הנמוך ביותר של תחום התרבות בישראל, מוטלות מגבלות כלכליות קשות על העשייה הא</w:t>
      </w:r>
      <w:r w:rsidR="00141301">
        <w:rPr>
          <w:rFonts w:hint="cs"/>
          <w:rtl/>
        </w:rPr>
        <w:t>ו</w:t>
      </w:r>
      <w:r>
        <w:rPr>
          <w:rtl/>
        </w:rPr>
        <w:t>מנותית במדינה, וחלק ניכר מהמוסדות נאלץ להתנהל לרוב על בסיס גירעוני ולפעול לפי שיקולי רייטינג ולא לפי איכות. גם היכולת להפיץ את התרבות והא</w:t>
      </w:r>
      <w:r w:rsidR="00141301">
        <w:rPr>
          <w:rFonts w:hint="cs"/>
          <w:rtl/>
        </w:rPr>
        <w:t>ו</w:t>
      </w:r>
      <w:r>
        <w:rPr>
          <w:rtl/>
        </w:rPr>
        <w:t>מנות לאוכלוסיות חלשות ולפריפריה נפגעת כתוצאה מהתקצוב הנמוך, ובכך נגרמת פגיעה בזכותן של אוכלוסיות אלה לצרוך תרבות וליטול חלק בתהליך היצירה.</w:t>
      </w:r>
    </w:p>
    <w:p w14:paraId="3E76DB51" w14:textId="119552D6" w:rsidR="00A874CA" w:rsidRDefault="00A874CA" w:rsidP="00A874CA">
      <w:pPr>
        <w:pStyle w:val="Hesber"/>
        <w:rPr>
          <w:rtl/>
        </w:rPr>
      </w:pPr>
      <w:r>
        <w:rPr>
          <w:rtl/>
        </w:rPr>
        <w:t>מתוך הכרה בחובת המדינה לטפח את העשייה הא</w:t>
      </w:r>
      <w:r w:rsidR="00141301">
        <w:rPr>
          <w:rFonts w:hint="cs"/>
          <w:rtl/>
        </w:rPr>
        <w:t>ו</w:t>
      </w:r>
      <w:r>
        <w:rPr>
          <w:rtl/>
        </w:rPr>
        <w:t>מנותית, לחזק את המורשת התרבותית של עם ישראל ולעודד כל אדם ליצור ולצרוך תרבות, נדרש להבטיח את חלקו של תקציב התרבות והא</w:t>
      </w:r>
      <w:r w:rsidR="00141301">
        <w:rPr>
          <w:rFonts w:hint="cs"/>
          <w:rtl/>
        </w:rPr>
        <w:t>ו</w:t>
      </w:r>
      <w:r>
        <w:rPr>
          <w:rtl/>
        </w:rPr>
        <w:t>מנות מתוך תקציב המדינה.</w:t>
      </w:r>
    </w:p>
    <w:p w14:paraId="70C8763C" w14:textId="490DE010" w:rsidR="00A874CA" w:rsidRDefault="00A874CA" w:rsidP="00A874CA">
      <w:pPr>
        <w:pStyle w:val="Hesber"/>
        <w:rPr>
          <w:rtl/>
        </w:rPr>
      </w:pPr>
      <w:r>
        <w:rPr>
          <w:rtl/>
        </w:rPr>
        <w:t>עם זאת, בהתחשב בקשיים הכלכליים בפניהם ניצבת מדינת ישראל, מוצע לקבוע כי הגידול בתקציב התרבות ייעשה באופן הדרגתי. כך שבשלב הראשון, בשנת 2021, יעמוד תקציב התרבות על שיעור של 0.30 אחוזים בלבד מתקציב המדינה, ובמהלך הדרגתי יגדל תקציב התרבות עד כדי אחוז אחד מתקציב המדינה. בשלב זה לא מוצע לקבוע גידול נוסף מעבר לשיעור זה, אלא לאחר שייבחנו השלכ</w:t>
      </w:r>
      <w:r w:rsidR="00141301">
        <w:rPr>
          <w:rtl/>
        </w:rPr>
        <w:t>ות הגידול המוצע בתקציב התרבות ו</w:t>
      </w:r>
      <w:r w:rsidR="00141301">
        <w:rPr>
          <w:rFonts w:hint="cs"/>
          <w:rtl/>
        </w:rPr>
        <w:t>ל</w:t>
      </w:r>
      <w:r>
        <w:rPr>
          <w:rtl/>
        </w:rPr>
        <w:t>א</w:t>
      </w:r>
      <w:r w:rsidR="00141301">
        <w:rPr>
          <w:rFonts w:hint="cs"/>
          <w:rtl/>
        </w:rPr>
        <w:t>ו</w:t>
      </w:r>
      <w:r>
        <w:rPr>
          <w:rtl/>
        </w:rPr>
        <w:t>מנות.</w:t>
      </w:r>
    </w:p>
    <w:p w14:paraId="556CC465" w14:textId="6DF553D6" w:rsidR="00A874CA" w:rsidRDefault="00A874CA" w:rsidP="00A874CA">
      <w:pPr>
        <w:pStyle w:val="Hesber"/>
        <w:rPr>
          <w:rtl/>
        </w:rPr>
      </w:pPr>
      <w:r>
        <w:rPr>
          <w:rtl/>
        </w:rPr>
        <w:t>על מנת למנוע שינוי במשתמע של חוק זה במסגרת חוק תקציב שנתי, מוצע לקבוע כי לא ניתן לשנות את השיעורים הקבועים בחוק התרבות והא</w:t>
      </w:r>
      <w:r w:rsidR="00141301">
        <w:rPr>
          <w:rFonts w:hint="cs"/>
          <w:rtl/>
        </w:rPr>
        <w:t>ו</w:t>
      </w:r>
      <w:r>
        <w:rPr>
          <w:rtl/>
        </w:rPr>
        <w:t>מנות אלא במסגרת הוראה מיוחדת הקובעת כי סעיף 12 לחוק התרבות והא</w:t>
      </w:r>
      <w:r w:rsidR="00141301">
        <w:rPr>
          <w:rFonts w:hint="cs"/>
          <w:rtl/>
        </w:rPr>
        <w:t>ו</w:t>
      </w:r>
      <w:r>
        <w:rPr>
          <w:rtl/>
        </w:rPr>
        <w:t>מנות לא יחול כלל באותה שנה.</w:t>
      </w:r>
    </w:p>
    <w:p w14:paraId="7F6961CB" w14:textId="624FCEA6" w:rsidR="00E13C27" w:rsidRDefault="00D40BB4" w:rsidP="00A874CA">
      <w:pPr>
        <w:pStyle w:val="Hesber"/>
        <w:rPr>
          <w:rtl/>
        </w:rPr>
      </w:pPr>
      <w:r>
        <w:rPr>
          <w:rFonts w:hint="cs"/>
          <w:rtl/>
        </w:rPr>
        <w:t>הצעת חוק זהה הונחה על שולחן הכנסת העשרים וארבע על ידי חברת הכנסת מרב מיכאלי (פ/1355/24).</w:t>
      </w:r>
    </w:p>
    <w:p w14:paraId="2AB7A9FF" w14:textId="2DFEF696" w:rsidR="00D40BB4" w:rsidRDefault="00D40BB4" w:rsidP="00A874CA">
      <w:pPr>
        <w:pStyle w:val="Hesber"/>
        <w:rPr>
          <w:rtl/>
        </w:rPr>
      </w:pPr>
      <w:r>
        <w:rPr>
          <w:rFonts w:hint="cs"/>
          <w:rtl/>
        </w:rPr>
        <w:t>הצעת החוק זהה לפ/1355/24 ולפיכך לא נבדקה מחדש על ידי הלשכה המשפטית של הכנסת.</w:t>
      </w:r>
    </w:p>
    <w:p w14:paraId="1ABD301A" w14:textId="77777777" w:rsidR="008F3CEF" w:rsidRDefault="0005246F">
      <w:pPr>
        <w:jc w:val="left"/>
      </w:pPr>
      <w:bookmarkStart w:id="9" w:name="selectedDocDateB"/>
      <w:bookmarkEnd w:id="9"/>
      <w:r>
        <w:rPr>
          <w:rFonts w:eastAsia="David" w:hint="cs"/>
          <w:sz w:val="26"/>
          <w:szCs w:val="26"/>
          <w:rtl/>
        </w:rPr>
        <w:t>--------------------------------</w:t>
      </w:r>
    </w:p>
    <w:p w14:paraId="66EB14C2" w14:textId="77777777" w:rsidR="008F3CEF" w:rsidRDefault="0005246F">
      <w:pPr>
        <w:jc w:val="left"/>
      </w:pPr>
      <w:r>
        <w:rPr>
          <w:rFonts w:eastAsia="David" w:hint="cs"/>
          <w:sz w:val="26"/>
          <w:szCs w:val="26"/>
          <w:rtl/>
        </w:rPr>
        <w:t>הוגשה ליו"ר הכנסת והסגנים</w:t>
      </w:r>
    </w:p>
    <w:p w14:paraId="638842F9" w14:textId="77777777" w:rsidR="008F3CEF" w:rsidRDefault="0005246F">
      <w:pPr>
        <w:jc w:val="left"/>
      </w:pPr>
      <w:r>
        <w:rPr>
          <w:rFonts w:eastAsia="David" w:hint="cs"/>
          <w:sz w:val="26"/>
          <w:szCs w:val="26"/>
          <w:rtl/>
        </w:rPr>
        <w:t>והונחה על שולחן הכנסת ביום</w:t>
      </w:r>
    </w:p>
    <w:p w14:paraId="7D7E24E4" w14:textId="77777777" w:rsidR="008F3CEF" w:rsidRDefault="0005246F">
      <w:pPr>
        <w:jc w:val="left"/>
      </w:pPr>
      <w:r>
        <w:rPr>
          <w:rFonts w:eastAsia="David" w:hint="cs"/>
          <w:sz w:val="26"/>
          <w:szCs w:val="26"/>
          <w:rtl/>
        </w:rPr>
        <w:t xml:space="preserve">כ"ב בשבט התשפ"ג (13.02.2023) </w:t>
      </w:r>
    </w:p>
    <w:p w14:paraId="50F9D069" w14:textId="77777777" w:rsidR="008F3CEF" w:rsidRDefault="008F3CEF">
      <w:pPr>
        <w:spacing w:line="276" w:lineRule="auto"/>
        <w:jc w:val="left"/>
      </w:pPr>
    </w:p>
    <w:sectPr w:rsidR="008F3CEF" w:rsidSect="0005246F">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6DBE8A1"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141301">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05246F">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81C3EC8" w14:textId="77777777" w:rsidR="00A874CA" w:rsidRDefault="00A874CA" w:rsidP="00A874CA">
      <w:pPr>
        <w:pStyle w:val="a4"/>
        <w:rPr>
          <w:snapToGrid/>
          <w:rtl/>
        </w:rPr>
      </w:pPr>
      <w:r>
        <w:rPr>
          <w:rStyle w:val="a6"/>
        </w:rPr>
        <w:footnoteRef/>
      </w:r>
      <w:r>
        <w:rPr>
          <w:rtl/>
        </w:rPr>
        <w:t xml:space="preserve"> </w:t>
      </w:r>
      <w:r>
        <w:rPr>
          <w:rFonts w:hint="cs"/>
          <w:rtl/>
        </w:rPr>
        <w:t>ס"ח התשס"ג, עמ' 64.</w:t>
      </w:r>
    </w:p>
  </w:footnote>
  <w:footnote w:id="3">
    <w:p w14:paraId="4EA15D71" w14:textId="77777777" w:rsidR="00A874CA" w:rsidRDefault="00A874CA" w:rsidP="00A874CA">
      <w:pPr>
        <w:pStyle w:val="a4"/>
      </w:pPr>
      <w:r>
        <w:rPr>
          <w:rStyle w:val="a6"/>
        </w:rPr>
        <w:footnoteRef/>
      </w:r>
      <w:r>
        <w:rPr>
          <w:sz w:val="20"/>
          <w:rtl/>
        </w:rPr>
        <w:t xml:space="preserve"> ס"ח התשי"ח, עמ' 191.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5246F"/>
    <w:rsid w:val="00063A3E"/>
    <w:rsid w:val="00072CAC"/>
    <w:rsid w:val="0007681A"/>
    <w:rsid w:val="000A542E"/>
    <w:rsid w:val="00102B6B"/>
    <w:rsid w:val="001052D4"/>
    <w:rsid w:val="0010644B"/>
    <w:rsid w:val="001207F8"/>
    <w:rsid w:val="00121924"/>
    <w:rsid w:val="001279A8"/>
    <w:rsid w:val="00141301"/>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3CEF"/>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874CA"/>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40BB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BB142CFD-7FAF-43BE-95CA-83C76224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46F"/>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05246F"/>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05246F"/>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05246F"/>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05246F"/>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05246F"/>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05246F"/>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05246F"/>
    <w:rPr>
      <w:sz w:val="36"/>
      <w:szCs w:val="52"/>
    </w:rPr>
  </w:style>
  <w:style w:type="paragraph" w:customStyle="1" w:styleId="Cover3-Haknesset">
    <w:name w:val="Cover 3-Haknesset"/>
    <w:basedOn w:val="Cover1-Reshumot"/>
    <w:rsid w:val="0005246F"/>
    <w:rPr>
      <w:b/>
      <w:bCs/>
      <w:spacing w:val="60"/>
    </w:rPr>
  </w:style>
  <w:style w:type="paragraph" w:customStyle="1" w:styleId="Cover4-Date">
    <w:name w:val="Cover 4-Date"/>
    <w:basedOn w:val="a"/>
    <w:rsid w:val="0005246F"/>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05246F"/>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05246F"/>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05246F"/>
    <w:pPr>
      <w:spacing w:before="120" w:after="120"/>
    </w:pPr>
    <w:rPr>
      <w:color w:val="FF0000"/>
      <w:w w:val="80"/>
    </w:rPr>
  </w:style>
  <w:style w:type="paragraph" w:styleId="a3">
    <w:name w:val="endnote text"/>
    <w:basedOn w:val="a"/>
    <w:semiHidden/>
    <w:rsid w:val="0005246F"/>
    <w:pPr>
      <w:ind w:left="227" w:hanging="227"/>
    </w:pPr>
    <w:rPr>
      <w:sz w:val="14"/>
      <w:szCs w:val="22"/>
    </w:rPr>
  </w:style>
  <w:style w:type="paragraph" w:customStyle="1" w:styleId="TableText">
    <w:name w:val="Table Text"/>
    <w:basedOn w:val="a"/>
    <w:rsid w:val="0005246F"/>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05246F"/>
    <w:pPr>
      <w:outlineLvl w:val="2"/>
    </w:pPr>
  </w:style>
  <w:style w:type="paragraph" w:customStyle="1" w:styleId="TableBlock">
    <w:name w:val="Table Block"/>
    <w:basedOn w:val="TableText"/>
    <w:rsid w:val="0005246F"/>
    <w:pPr>
      <w:jc w:val="both"/>
    </w:pPr>
  </w:style>
  <w:style w:type="paragraph" w:customStyle="1" w:styleId="TableHead">
    <w:name w:val="Table Head"/>
    <w:basedOn w:val="TableText"/>
    <w:rsid w:val="0005246F"/>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05246F"/>
    <w:pPr>
      <w:outlineLvl w:val="9"/>
    </w:pPr>
  </w:style>
  <w:style w:type="paragraph" w:customStyle="1" w:styleId="Hesber">
    <w:name w:val="Hesber"/>
    <w:basedOn w:val="a"/>
    <w:rsid w:val="0005246F"/>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05246F"/>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05246F"/>
    <w:rPr>
      <w:vertAlign w:val="superscript"/>
    </w:rPr>
  </w:style>
  <w:style w:type="paragraph" w:customStyle="1" w:styleId="HesberHeading">
    <w:name w:val="Hesber Heading"/>
    <w:basedOn w:val="Hesber"/>
    <w:rsid w:val="0005246F"/>
    <w:pPr>
      <w:tabs>
        <w:tab w:val="left" w:pos="624"/>
        <w:tab w:val="left" w:pos="1247"/>
      </w:tabs>
    </w:pPr>
    <w:rPr>
      <w:b/>
      <w:bCs/>
    </w:rPr>
  </w:style>
  <w:style w:type="paragraph" w:customStyle="1" w:styleId="HesberWriters">
    <w:name w:val="Hesber Writers"/>
    <w:basedOn w:val="Hesber"/>
    <w:rsid w:val="0005246F"/>
    <w:pPr>
      <w:spacing w:before="120" w:after="120"/>
      <w:ind w:left="1418"/>
      <w:jc w:val="right"/>
    </w:pPr>
    <w:rPr>
      <w:b/>
      <w:bCs/>
    </w:rPr>
  </w:style>
  <w:style w:type="paragraph" w:customStyle="1" w:styleId="Hesber1st">
    <w:name w:val="Hesber 1st"/>
    <w:basedOn w:val="Hesber"/>
    <w:rsid w:val="0005246F"/>
    <w:pPr>
      <w:tabs>
        <w:tab w:val="left" w:pos="680"/>
        <w:tab w:val="left" w:pos="1020"/>
      </w:tabs>
      <w:ind w:firstLine="0"/>
    </w:pPr>
  </w:style>
  <w:style w:type="character" w:styleId="a7">
    <w:name w:val="endnote reference"/>
    <w:basedOn w:val="a0"/>
    <w:semiHidden/>
    <w:rsid w:val="0005246F"/>
    <w:rPr>
      <w:vertAlign w:val="superscript"/>
    </w:rPr>
  </w:style>
  <w:style w:type="paragraph" w:customStyle="1" w:styleId="TableBlockOutdent">
    <w:name w:val="Table BlockOutdent"/>
    <w:basedOn w:val="TableBlock"/>
    <w:rsid w:val="0005246F"/>
    <w:pPr>
      <w:ind w:left="624" w:hanging="624"/>
    </w:pPr>
  </w:style>
  <w:style w:type="paragraph" w:styleId="a8">
    <w:name w:val="header"/>
    <w:basedOn w:val="a"/>
    <w:rsid w:val="0005246F"/>
    <w:pPr>
      <w:tabs>
        <w:tab w:val="center" w:pos="4153"/>
        <w:tab w:val="right" w:pos="8306"/>
      </w:tabs>
    </w:pPr>
  </w:style>
  <w:style w:type="paragraph" w:styleId="a9">
    <w:name w:val="footer"/>
    <w:basedOn w:val="a"/>
    <w:rsid w:val="0005246F"/>
    <w:pPr>
      <w:tabs>
        <w:tab w:val="center" w:pos="4153"/>
        <w:tab w:val="right" w:pos="8306"/>
      </w:tabs>
    </w:pPr>
  </w:style>
  <w:style w:type="paragraph" w:customStyle="1" w:styleId="HeadDivreiHesber">
    <w:name w:val="Head DivreiHesber"/>
    <w:basedOn w:val="a"/>
    <w:rsid w:val="0005246F"/>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05246F"/>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05246F"/>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A874CA"/>
    <w:rPr>
      <w:rFonts w:ascii="Arial" w:eastAsia="Arial Unicode MS" w:hAnsi="Arial" w:cs="David"/>
      <w:snapToGrid w:val="0"/>
      <w:sz w:val="14"/>
    </w:rPr>
  </w:style>
  <w:style w:type="character" w:customStyle="1" w:styleId="10">
    <w:name w:val="כותרת 1 תו"/>
    <w:basedOn w:val="a0"/>
    <w:link w:val="1"/>
    <w:uiPriority w:val="9"/>
    <w:rsid w:val="0005246F"/>
    <w:rPr>
      <w:rFonts w:asciiTheme="majorHAnsi" w:eastAsiaTheme="majorEastAsia" w:hAnsiTheme="majorHAnsi" w:cs="David"/>
      <w:bCs/>
      <w:sz w:val="32"/>
      <w:szCs w:val="36"/>
    </w:rPr>
  </w:style>
  <w:style w:type="character" w:customStyle="1" w:styleId="20">
    <w:name w:val="כותרת 2 תו"/>
    <w:basedOn w:val="a0"/>
    <w:link w:val="2"/>
    <w:rsid w:val="0005246F"/>
    <w:rPr>
      <w:rFonts w:asciiTheme="majorHAnsi" w:eastAsiaTheme="majorEastAsia" w:hAnsiTheme="majorHAnsi" w:cs="David"/>
      <w:bCs/>
      <w:sz w:val="26"/>
      <w:szCs w:val="36"/>
      <w:u w:val="single"/>
    </w:rPr>
  </w:style>
  <w:style w:type="character" w:customStyle="1" w:styleId="30">
    <w:name w:val="כותרת 3 תו"/>
    <w:basedOn w:val="a0"/>
    <w:link w:val="3"/>
    <w:rsid w:val="0005246F"/>
    <w:rPr>
      <w:rFonts w:asciiTheme="majorHAnsi" w:eastAsiaTheme="majorEastAsia" w:hAnsiTheme="majorHAnsi" w:cs="David"/>
      <w:sz w:val="24"/>
      <w:szCs w:val="28"/>
      <w:u w:val="double"/>
    </w:rPr>
  </w:style>
  <w:style w:type="character" w:customStyle="1" w:styleId="40">
    <w:name w:val="כותרת 4 תו"/>
    <w:basedOn w:val="a0"/>
    <w:link w:val="4"/>
    <w:uiPriority w:val="9"/>
    <w:rsid w:val="0005246F"/>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05246F"/>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05246F"/>
    <w:pPr>
      <w:widowControl/>
      <w:spacing w:before="120" w:after="120"/>
      <w:outlineLvl w:val="9"/>
    </w:pPr>
    <w:rPr>
      <w:rtl/>
      <w:cs/>
    </w:rPr>
  </w:style>
  <w:style w:type="paragraph" w:styleId="TOC1">
    <w:name w:val="toc 1"/>
    <w:basedOn w:val="a"/>
    <w:next w:val="a"/>
    <w:autoRedefine/>
    <w:uiPriority w:val="39"/>
    <w:unhideWhenUsed/>
    <w:rsid w:val="0005246F"/>
    <w:pPr>
      <w:tabs>
        <w:tab w:val="right" w:leader="dot" w:pos="9629"/>
      </w:tabs>
      <w:spacing w:after="100"/>
    </w:pPr>
    <w:rPr>
      <w:bCs/>
      <w:szCs w:val="22"/>
    </w:rPr>
  </w:style>
  <w:style w:type="paragraph" w:styleId="TOC2">
    <w:name w:val="toc 2"/>
    <w:basedOn w:val="a"/>
    <w:next w:val="a"/>
    <w:uiPriority w:val="39"/>
    <w:unhideWhenUsed/>
    <w:rsid w:val="0005246F"/>
    <w:pPr>
      <w:tabs>
        <w:tab w:val="right" w:leader="dot" w:pos="9628"/>
      </w:tabs>
      <w:spacing w:after="100"/>
    </w:pPr>
    <w:rPr>
      <w:szCs w:val="22"/>
    </w:rPr>
  </w:style>
  <w:style w:type="character" w:styleId="Hyperlink">
    <w:name w:val="Hyperlink"/>
    <w:basedOn w:val="a0"/>
    <w:uiPriority w:val="99"/>
    <w:unhideWhenUsed/>
    <w:rsid w:val="0005246F"/>
    <w:rPr>
      <w:color w:val="0000FF" w:themeColor="hyperlink"/>
      <w:u w:val="single"/>
    </w:rPr>
  </w:style>
  <w:style w:type="paragraph" w:styleId="TOC3">
    <w:name w:val="toc 3"/>
    <w:basedOn w:val="a"/>
    <w:next w:val="a"/>
    <w:uiPriority w:val="39"/>
    <w:unhideWhenUsed/>
    <w:rsid w:val="0005246F"/>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05246F"/>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05246F"/>
    <w:pPr>
      <w:tabs>
        <w:tab w:val="right" w:leader="dot" w:pos="9628"/>
      </w:tabs>
      <w:spacing w:after="100"/>
      <w:ind w:left="567"/>
    </w:pPr>
    <w:rPr>
      <w:szCs w:val="22"/>
    </w:rPr>
  </w:style>
  <w:style w:type="paragraph" w:styleId="TOC6">
    <w:name w:val="toc 6"/>
    <w:basedOn w:val="a"/>
    <w:next w:val="a"/>
    <w:autoRedefine/>
    <w:semiHidden/>
    <w:unhideWhenUsed/>
    <w:rsid w:val="0005246F"/>
    <w:pPr>
      <w:spacing w:after="100"/>
      <w:ind w:left="850"/>
    </w:pPr>
  </w:style>
  <w:style w:type="paragraph" w:styleId="TOC7">
    <w:name w:val="toc 7"/>
    <w:basedOn w:val="a"/>
    <w:next w:val="a"/>
    <w:autoRedefine/>
    <w:semiHidden/>
    <w:unhideWhenUsed/>
    <w:rsid w:val="0005246F"/>
    <w:pPr>
      <w:spacing w:after="100"/>
      <w:ind w:left="1020"/>
    </w:pPr>
  </w:style>
  <w:style w:type="paragraph" w:styleId="TOC8">
    <w:name w:val="toc 8"/>
    <w:basedOn w:val="a"/>
    <w:next w:val="a"/>
    <w:autoRedefine/>
    <w:semiHidden/>
    <w:unhideWhenUsed/>
    <w:rsid w:val="0005246F"/>
    <w:pPr>
      <w:spacing w:after="100"/>
      <w:ind w:left="1190"/>
    </w:pPr>
  </w:style>
  <w:style w:type="paragraph" w:styleId="TOC9">
    <w:name w:val="toc 9"/>
    <w:basedOn w:val="a"/>
    <w:next w:val="a"/>
    <w:autoRedefine/>
    <w:semiHidden/>
    <w:unhideWhenUsed/>
    <w:rsid w:val="0005246F"/>
    <w:pPr>
      <w:spacing w:after="100"/>
      <w:ind w:left="1360"/>
    </w:pPr>
  </w:style>
  <w:style w:type="paragraph" w:customStyle="1" w:styleId="TableHead2">
    <w:name w:val="Table Head2"/>
    <w:basedOn w:val="TableHead"/>
    <w:qFormat/>
    <w:rsid w:val="0005246F"/>
    <w:pPr>
      <w:outlineLvl w:val="9"/>
    </w:pPr>
  </w:style>
  <w:style w:type="paragraph" w:customStyle="1" w:styleId="TableSideHeading2">
    <w:name w:val="Table SideHeading2"/>
    <w:basedOn w:val="TableSideHeading"/>
    <w:autoRedefine/>
    <w:qFormat/>
    <w:rsid w:val="0005246F"/>
    <w:pPr>
      <w:keepLines w:val="0"/>
      <w:outlineLvl w:val="9"/>
    </w:pPr>
  </w:style>
  <w:style w:type="paragraph" w:customStyle="1" w:styleId="0">
    <w:name w:val="סגנון שורה ראשונה:  0  ס''מ"/>
    <w:basedOn w:val="2"/>
    <w:rsid w:val="0005246F"/>
    <w:rPr>
      <w:rFonts w:eastAsia="Times New Roman"/>
    </w:rPr>
  </w:style>
  <w:style w:type="paragraph" w:styleId="af">
    <w:name w:val="List Paragraph"/>
    <w:basedOn w:val="a"/>
    <w:uiPriority w:val="34"/>
    <w:qFormat/>
    <w:rsid w:val="0005246F"/>
    <w:pPr>
      <w:widowControl/>
      <w:spacing w:line="259" w:lineRule="auto"/>
    </w:pPr>
    <w:rPr>
      <w:rFonts w:asciiTheme="minorHAnsi" w:hAnsiTheme="minorHAnsi"/>
      <w:sz w:val="22"/>
    </w:rPr>
  </w:style>
  <w:style w:type="table" w:styleId="af0">
    <w:name w:val="Table Grid"/>
    <w:basedOn w:val="a1"/>
    <w:rsid w:val="0005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05246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05246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05246F"/>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05246F"/>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290d5b49-c690-4c6f-bbb9-1e50dab33ee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A5837A5-0D00-484E-BECE-AD448753B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CA8F28-620C-4751-A0E9-72BE0551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720</Words>
  <Characters>4108</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2023-02-07T10:32:00Z</cp:lastPrinted>
  <dcterms:created xsi:type="dcterms:W3CDTF">2015-04-20T09:58:00Z</dcterms:created>
  <dcterms:modified xsi:type="dcterms:W3CDTF">2023-02-12T09:58:00Z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2200987</vt:r8>
  </property>
</Properties>
</file>